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宁德职业技术学院新校区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2号学生宿舍建设项目设计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投标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宁德职业技术学院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经研究并充分理解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宁德职业技术学院新校区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2号学生宿舍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建设项目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设计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招标公告的各项条款及要求后，我公司对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宁德职业技术学院新校区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2号学生宿舍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建设项目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设计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提出申请。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宁德职业技术学院新校区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2号学生宿舍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建设项目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设计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合同价按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eastAsia="zh-CN"/>
        </w:rPr>
        <w:t>招标控制价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价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eastAsia="zh-CN"/>
        </w:rPr>
        <w:t>下降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%（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本空格数字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，</w:t>
      </w:r>
      <w:r>
        <w:rPr>
          <w:rFonts w:hint="eastAsia" w:ascii="仿宋_GB2312" w:eastAsia="仿宋_GB2312" w:cs="Times New Roman"/>
          <w:color w:val="000000"/>
          <w:sz w:val="32"/>
          <w:szCs w:val="32"/>
          <w:shd w:val="clear" w:color="auto" w:fill="auto"/>
          <w:lang w:val="en-US" w:eastAsia="zh-CN"/>
        </w:rPr>
        <w:t>不含0，含2%，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超出无效判为废标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）</w:t>
      </w:r>
      <w:bookmarkStart w:id="0" w:name="_GoBack"/>
      <w:bookmarkEnd w:id="0"/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lang w:eastAsia="zh-CN"/>
        </w:rPr>
        <w:t>，即合同价为：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000</w:t>
      </w:r>
      <w:r>
        <w:rPr>
          <w:rFonts w:hint="default" w:ascii="Arial" w:hAnsi="Arial" w:eastAsia="仿宋_GB2312" w:cs="Arial"/>
          <w:color w:val="000000"/>
          <w:sz w:val="32"/>
          <w:szCs w:val="32"/>
          <w:lang w:val="en-US" w:eastAsia="zh-CN"/>
        </w:rPr>
        <w:t>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（1-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）=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none"/>
          <w:lang w:val="en-US" w:eastAsia="zh-CN"/>
        </w:rPr>
        <w:t>，按包干价计取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     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360" w:lineRule="atLeast"/>
        <w:ind w:firstLine="4480" w:firstLineChars="14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申请人：（盖章）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法定代表人：（签字或盖章）</w:t>
      </w:r>
    </w:p>
    <w:p>
      <w:pPr>
        <w:ind w:firstLine="5280" w:firstLineChars="165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ind w:firstLine="4480" w:firstLineChars="1400"/>
        <w:rPr>
          <w:rFonts w:ascii="宋体" w:hAnsi="宋体"/>
          <w:sz w:val="28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年   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B5201"/>
    <w:rsid w:val="2F757AA3"/>
    <w:rsid w:val="7EC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2020-02-09T06:37:00Z</dcterms:created>
  <dc:creator>86150</dc:creator>
  <cp:lastModifiedBy>86150</cp:lastModifiedBy>
  <dcterms:modified xsi:type="dcterms:W3CDTF">2020-02-10T06:46:20Z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