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/>
          <w:b/>
          <w:bCs/>
          <w:color w:val="333333"/>
          <w:kern w:val="0"/>
          <w:sz w:val="30"/>
          <w:szCs w:val="30"/>
        </w:rPr>
        <w:t>宁德职业技术学院</w:t>
      </w:r>
    </w:p>
    <w:p>
      <w:pPr>
        <w:jc w:val="center"/>
        <w:rPr>
          <w:rFonts w:hint="eastAsia" w:ascii="宋体" w:hAnsi="宋体" w:eastAsia="宋体"/>
          <w:b/>
          <w:bCs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color w:val="333333"/>
          <w:kern w:val="0"/>
          <w:sz w:val="30"/>
          <w:szCs w:val="30"/>
          <w:lang w:val="en-US" w:eastAsia="zh-CN"/>
        </w:rPr>
        <w:t>3门精品在线开放课程</w:t>
      </w:r>
      <w:r>
        <w:rPr>
          <w:rFonts w:hint="eastAsia" w:ascii="宋体" w:hAnsi="宋体" w:eastAsia="宋体"/>
          <w:b/>
          <w:bCs/>
          <w:color w:val="333333"/>
          <w:kern w:val="0"/>
          <w:sz w:val="30"/>
          <w:szCs w:val="30"/>
        </w:rPr>
        <w:t>建设</w:t>
      </w:r>
      <w:r>
        <w:rPr>
          <w:rFonts w:ascii="宋体" w:hAnsi="宋体" w:eastAsia="宋体"/>
          <w:b/>
          <w:bCs/>
          <w:color w:val="333333"/>
          <w:kern w:val="0"/>
          <w:sz w:val="30"/>
          <w:szCs w:val="30"/>
        </w:rPr>
        <w:t>方案</w:t>
      </w:r>
      <w:r>
        <w:rPr>
          <w:rFonts w:hint="eastAsia" w:ascii="宋体" w:hAnsi="宋体" w:eastAsia="宋体"/>
          <w:b/>
          <w:bCs/>
          <w:color w:val="333333"/>
          <w:kern w:val="0"/>
          <w:sz w:val="30"/>
          <w:szCs w:val="30"/>
          <w:lang w:val="en-US" w:eastAsia="zh-CN"/>
        </w:rPr>
        <w:t>需求</w:t>
      </w:r>
    </w:p>
    <w:p>
      <w:pPr>
        <w:spacing w:line="440" w:lineRule="exact"/>
        <w:ind w:firstLine="560" w:firstLineChars="200"/>
        <w:rPr>
          <w:rFonts w:hint="eastAsia" w:ascii="宋体" w:hAnsi="宋体" w:eastAsia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000000"/>
          <w:kern w:val="0"/>
          <w:sz w:val="28"/>
          <w:szCs w:val="28"/>
        </w:rPr>
        <w:t>为助力教学资源立体化，提高教学效果；助力教学团队优化，增强核心竞争力；助力“双高”专业群建设，服务社会。根据《福建省职业教育精品在线开放课程建设指南（试行）》等文件指导，我院积极筹建精品在线开放课程。</w:t>
      </w:r>
    </w:p>
    <w:p>
      <w:pPr>
        <w:spacing w:line="440" w:lineRule="exact"/>
        <w:ind w:firstLine="560" w:firstLineChars="200"/>
        <w:rPr>
          <w:rFonts w:hint="eastAsia" w:ascii="宋体" w:hAnsi="宋体" w:eastAsia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000000"/>
          <w:kern w:val="0"/>
          <w:sz w:val="28"/>
          <w:szCs w:val="28"/>
        </w:rPr>
        <w:t>一、</w:t>
      </w:r>
      <w:r>
        <w:rPr>
          <w:rFonts w:hint="eastAsia" w:ascii="宋体" w:hAnsi="宋体" w:eastAsia="宋体"/>
          <w:color w:val="000000"/>
          <w:kern w:val="0"/>
          <w:sz w:val="28"/>
          <w:szCs w:val="28"/>
          <w:lang w:val="en-US" w:eastAsia="zh-CN"/>
        </w:rPr>
        <w:t>建设内容</w:t>
      </w:r>
    </w:p>
    <w:p>
      <w:pPr>
        <w:spacing w:line="440" w:lineRule="exact"/>
        <w:ind w:firstLine="560" w:firstLineChars="200"/>
        <w:rPr>
          <w:rFonts w:hint="eastAsia" w:ascii="宋体" w:hAnsi="宋体" w:eastAsia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/>
          <w:color w:val="auto"/>
          <w:kern w:val="0"/>
          <w:sz w:val="28"/>
          <w:szCs w:val="28"/>
          <w:lang w:val="en-US" w:eastAsia="zh-CN"/>
        </w:rPr>
        <w:t>根据双高专业群建设及实际教研室课程需求情况，率先建设《电气控制技术与PLC》，《逆向工程与3D打印》及《塑料模具设计与制造》三门精品在线开放课程,建设的内容主要包含教材、教学PPT、教学视频及教学动画、教学案例及思政案例等具体建设内容如下建设清单</w:t>
      </w:r>
      <w:r>
        <w:rPr>
          <w:rFonts w:hint="eastAsia" w:ascii="宋体" w:hAnsi="宋体" w:eastAsia="宋体"/>
          <w:color w:val="000000"/>
          <w:kern w:val="0"/>
          <w:sz w:val="28"/>
          <w:szCs w:val="28"/>
        </w:rPr>
        <w:t>：</w:t>
      </w:r>
    </w:p>
    <w:tbl>
      <w:tblPr>
        <w:tblStyle w:val="8"/>
        <w:tblW w:w="7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1181"/>
        <w:gridCol w:w="1181"/>
        <w:gridCol w:w="3552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序号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bidi="ar"/>
              </w:rPr>
              <w:t>产品名称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内容内容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成果要求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bidi="ar"/>
              </w:rPr>
              <w:t>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1</w:t>
            </w:r>
          </w:p>
        </w:tc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《电气控制技术与PLC》</w:t>
            </w:r>
            <w:r>
              <w:rPr>
                <w:rFonts w:hint="eastAsia" w:ascii="宋体" w:hAnsi="宋体" w:cs="宋体"/>
                <w:szCs w:val="21"/>
                <w:lang w:eastAsia="zh-CN" w:bidi="ar"/>
              </w:rPr>
              <w:t>在线</w:t>
            </w:r>
            <w:r>
              <w:rPr>
                <w:rFonts w:hint="eastAsia" w:ascii="宋体" w:hAnsi="宋体" w:cs="宋体"/>
                <w:szCs w:val="21"/>
                <w:lang w:bidi="ar"/>
              </w:rPr>
              <w:t>开</w:t>
            </w:r>
            <w:r>
              <w:rPr>
                <w:rFonts w:hint="eastAsia" w:ascii="宋体" w:hAnsi="宋体" w:cs="宋体"/>
                <w:szCs w:val="21"/>
                <w:lang w:eastAsia="zh-CN" w:bidi="ar"/>
              </w:rPr>
              <w:t>放</w:t>
            </w:r>
            <w:r>
              <w:rPr>
                <w:rFonts w:hint="eastAsia" w:ascii="宋体" w:hAnsi="宋体" w:cs="宋体"/>
                <w:szCs w:val="21"/>
                <w:lang w:bidi="ar"/>
              </w:rPr>
              <w:t>课程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 w:eastAsiaTheme="minorEastAsia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szCs w:val="21"/>
              </w:rPr>
              <w:t>教材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编写与出版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按照课程标准进行教材开发，字数不少于10万字。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电子教案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用以指导具体教学实施的设计文档，一般包括教学目标、内容、方法、手段、资源使用、评价考核等方面的内容。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多媒体教学PPT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PPT模板设计</w:t>
            </w:r>
          </w:p>
          <w:p>
            <w:pPr>
              <w:spacing w:line="360" w:lineRule="auto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PPT内容设计与制作（根据章节知识点背景、教学场景、教学编排等设计满足学校需求的PPT）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微课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1.教学任务和教学目标，搭建微课程的内容设计框架。</w:t>
            </w:r>
          </w:p>
          <w:p>
            <w:pPr>
              <w:spacing w:line="360" w:lineRule="auto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2.根据知识点或技能点进行内容设计拍摄和制作，视频包含片头片尾，MP4格式。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10个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操作视频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实训视频（</w:t>
            </w:r>
            <w:r>
              <w:rPr>
                <w:rFonts w:hint="eastAsia" w:ascii="宋体" w:hAnsi="宋体" w:cs="宋体"/>
                <w:kern w:val="0"/>
                <w:szCs w:val="21"/>
              </w:rPr>
              <w:t>每个3-10分钟。每个视频必须设计片头片尾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20个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试题库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综合测试题，主要包含选择、判断、填空、问答等形式。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5套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项目测试题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以项目或单元为单位进行编写测试题，内容覆盖整本教材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动画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根据技能点，制作动画，3-30秒，2DFlash动画或者3D动画。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20个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素材库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根据技能点提供碎片化素材，主要格式为图片、视频、动画、文档等格式，需要提供两种以上格式素材。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30个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课程封装网页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spacing w:line="360" w:lineRule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1）参照国家级精品课程评审标准，包含课程动态教学网站引导页面（包括课程主页、师资团队、课程设计、课程资源、教学改革、实训条件、校企合作、互动交流等）的设计根据学校具体要求定制与开发，课程栏目规划、框架设计，支持各种课程资源的上传。</w:t>
            </w:r>
          </w:p>
          <w:p>
            <w:pPr>
              <w:pStyle w:val="13"/>
              <w:adjustRightInd w:val="0"/>
              <w:snapToGrid w:val="0"/>
              <w:spacing w:line="360" w:lineRule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（2）采用Java语言、B/S架构：通过浏览器即可登陆和管理网站，便于教师在任何时间和地点对课程网站的内容进行维护，而不需要安装客户端。</w:t>
            </w:r>
          </w:p>
          <w:p>
            <w:pPr>
              <w:pStyle w:val="13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</w:rPr>
              <w:t>（3）支持各种教学素材上传：能够对教师的文本素材、图片素材、音视频、动画、PPT课件、word文件、PDF文件、EXCEL表格等各种教学资源提供丰富多样的上传形式。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2</w:t>
            </w:r>
          </w:p>
        </w:tc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《逆向工程与3D打印》核心共享网络课程开发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课程标准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指导课程建设及教学实施的规范性文件，一般包括课程概述（性质、定位、设计思路等）、课程特点、教学目标、教学内容与学时分配、模块教学设计、考核标准与方式、教材与资源的选用、师资要求、教学环境要求等内容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校本教材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按照课程标准进行校本教材开发，字数不少于10万字。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电子教案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用以指导具体教学实施的设计文档，一般包括教学目标、内容、方法、手段、资源使用、评价考核等方面的内容。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多媒体教学PPT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PPT模板设计</w:t>
            </w:r>
          </w:p>
          <w:p>
            <w:pPr>
              <w:spacing w:line="360" w:lineRule="auto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PPT内容设计与制作（根据章节知识点背景、教学场景、教学编排等设计满足学校需求的PPT）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微课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1.教学任务和教学目标，搭建微课程的内容设计框架。</w:t>
            </w:r>
          </w:p>
          <w:p>
            <w:pPr>
              <w:spacing w:line="360" w:lineRule="auto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2.根据知识点或技能点进行内容设计拍摄和制作，视频包含片头片尾，MP4格式。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操作视频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实训视频（单</w:t>
            </w:r>
            <w:r>
              <w:rPr>
                <w:rFonts w:hint="eastAsia" w:ascii="宋体" w:hAnsi="宋体" w:cs="宋体"/>
                <w:kern w:val="0"/>
                <w:szCs w:val="21"/>
              </w:rPr>
              <w:t>机位，每个3-10分钟。每个视频必须设计片头片尾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20个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试题库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综合测试题，主要包含选择、判断、填空、问答等形式。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5套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项目测试题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以项目或单元为单位进行编写测试题，内容覆盖整本教材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素材库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根据技能点提供碎片化素材，主要格式为微视频、文档、图片，需提供两个以上格式素材。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30个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课程封装网页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spacing w:line="360" w:lineRule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★（1）参照国家级精品课程评审标准，包含课程动态教学网站引导页面（包括课程主页、师资团队、课程设计、课程资源、教学改革、实训条件、校企合作、互动交流等）的设计根据学校具体要求定制与开发，课程栏目规划、框架设计，支持各种课程资源的上传。</w:t>
            </w:r>
          </w:p>
          <w:p>
            <w:pPr>
              <w:pStyle w:val="13"/>
              <w:adjustRightInd w:val="0"/>
              <w:snapToGrid w:val="0"/>
              <w:spacing w:line="360" w:lineRule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（2）采用Java语言、B/S架构：通过浏览器即可登陆和管理网站，便于教师在任何时间和地点对课程网站的内容进行维护，而不需要安装客户端。</w:t>
            </w:r>
          </w:p>
          <w:p>
            <w:pPr>
              <w:pStyle w:val="13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</w:rPr>
              <w:t>（3）支持各种教学素材上传：能够对教师的文本素材、图片素材、音视频、动画、PPT课件、word文件、PDF文件、EXCEL表格等各种教学资源提供丰富多样的上传形式。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3</w:t>
            </w:r>
          </w:p>
        </w:tc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bidi="ar"/>
              </w:rPr>
              <w:t>《塑料模具设计与制造》核心共享网络课程开发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课程标准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指导课程建设及教学实施的规范性文件，一般包括课程概述（性质、定位、设计思路等）、课程特点、教学目标、教学内容与学时分配、模块教学设计、考核标准与方式、教材与资源的选用、师资要求、教学环境要求等内容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校本教材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按照课程标准进行校本教材开发，字数不少于10万字。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电子教案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用以指导具体教学实施的设计文档，一般包括教学目标、内容、方法、手段、资源使用、评价考核等方面的内容。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多媒体教学PPT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PPT模板设计</w:t>
            </w:r>
          </w:p>
          <w:p>
            <w:pPr>
              <w:spacing w:line="360" w:lineRule="auto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PPT内容设计与制作（根据章节知识点背景、教学场景、教学编排等设计满足学校需求的PPT）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微课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1.教学任务和教学目标，搭建微课程的内容设计框架。</w:t>
            </w:r>
          </w:p>
          <w:p>
            <w:pPr>
              <w:spacing w:line="360" w:lineRule="auto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2.根据知识点或技能点进行内容设计拍摄和制作，视频包含片头片尾，MP4格式。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操作视频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实训视频（单</w:t>
            </w:r>
            <w:r>
              <w:rPr>
                <w:rFonts w:hint="eastAsia" w:ascii="宋体" w:hAnsi="宋体" w:cs="宋体"/>
                <w:kern w:val="0"/>
                <w:szCs w:val="21"/>
              </w:rPr>
              <w:t>机位，每个3-10分钟。每个视频必须设计片头片尾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20个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试题库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综合测试题，主要包含选择、判断、填空、问答等形式。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5套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项目测试题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以项目或单元为单位进行编写测试题，内容覆盖整本教材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素材库</w:t>
            </w:r>
          </w:p>
        </w:tc>
        <w:tc>
          <w:tcPr>
            <w:tcW w:w="35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根据技能点提供碎片化素材，主要格式为微视频、文档、图片，需提供两个以上格式素材。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30个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4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课程封装网页</w:t>
            </w:r>
          </w:p>
        </w:tc>
        <w:tc>
          <w:tcPr>
            <w:tcW w:w="3552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spacing w:line="360" w:lineRule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★（1）参照国家级精品课程评审标准，包含课程动态教学网站引导页面（包括课程主页、师资团队、课程设计、课程资源、教学改革、实训条件、校企合作、互动交流等）的设计根据学校具体要求定制与开发，课程栏目规划、框架设计，支持各种课程资源的上传。</w:t>
            </w:r>
          </w:p>
          <w:p>
            <w:pPr>
              <w:pStyle w:val="13"/>
              <w:adjustRightInd w:val="0"/>
              <w:snapToGrid w:val="0"/>
              <w:spacing w:line="360" w:lineRule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（2）采用Java语言、B/S架构：通过浏览器即可登陆和管理网站，便于教师在任何时间和地点对课程网站的内容进行维护，而不需要安装客户端。</w:t>
            </w:r>
          </w:p>
          <w:p>
            <w:pPr>
              <w:pStyle w:val="13"/>
              <w:adjustRightInd w:val="0"/>
              <w:snapToGrid w:val="0"/>
              <w:spacing w:line="360" w:lineRule="auto"/>
              <w:rPr>
                <w:rFonts w:hint="eastAsia" w:ascii="宋体" w:hAnsi="宋体" w:cs="宋体"/>
                <w:lang w:bidi="ar"/>
              </w:rPr>
            </w:pPr>
            <w:r>
              <w:rPr>
                <w:rFonts w:hint="eastAsia" w:ascii="宋体" w:hAnsi="宋体" w:cs="宋体"/>
              </w:rPr>
              <w:t>（3）支持各种教学素材上传：能够对教师的文本素材、图片素材、音视频、动画、PPT课件、word文件、PDF文件、EXCEL表格等各种教学资源提供丰富多样的上传形式。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</w:rPr>
              <w:t>1套</w:t>
            </w:r>
          </w:p>
        </w:tc>
      </w:tr>
    </w:tbl>
    <w:p>
      <w:pPr>
        <w:pStyle w:val="14"/>
        <w:spacing w:line="440" w:lineRule="exact"/>
        <w:ind w:left="420" w:leftChars="200" w:firstLine="0" w:firstLineChars="0"/>
        <w:rPr>
          <w:rFonts w:ascii="宋体" w:hAnsi="宋体" w:eastAsia="宋体"/>
          <w:color w:val="000000"/>
          <w:kern w:val="0"/>
          <w:sz w:val="28"/>
          <w:szCs w:val="28"/>
        </w:rPr>
      </w:pPr>
    </w:p>
    <w:p>
      <w:pPr>
        <w:rPr>
          <w:rFonts w:ascii="宋体" w:hAnsi="宋体" w:eastAsia="宋体"/>
          <w:b/>
          <w:bCs/>
          <w:color w:val="333333"/>
          <w:kern w:val="0"/>
          <w:sz w:val="30"/>
          <w:szCs w:val="30"/>
        </w:rPr>
      </w:pPr>
    </w:p>
    <w:p>
      <w:pPr>
        <w:ind w:firstLine="560"/>
        <w:jc w:val="right"/>
        <w:rPr>
          <w:rFonts w:hint="eastAsia" w:ascii="宋体" w:hAnsi="宋体" w:eastAsia="宋体"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auto"/>
          <w:kern w:val="0"/>
          <w:sz w:val="28"/>
          <w:szCs w:val="28"/>
        </w:rPr>
        <w:t>宁德职业技术学院</w:t>
      </w:r>
      <w:r>
        <w:rPr>
          <w:rFonts w:hint="eastAsia" w:ascii="宋体" w:hAnsi="宋体" w:eastAsia="宋体"/>
          <w:color w:val="auto"/>
          <w:kern w:val="0"/>
          <w:sz w:val="28"/>
          <w:szCs w:val="28"/>
          <w:lang w:val="en-US" w:eastAsia="zh-CN"/>
        </w:rPr>
        <w:t>新能源与智能制造学院</w:t>
      </w:r>
    </w:p>
    <w:p>
      <w:pPr>
        <w:ind w:firstLine="560"/>
        <w:jc w:val="center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kern w:val="0"/>
          <w:sz w:val="28"/>
          <w:szCs w:val="28"/>
        </w:rPr>
        <w:t xml:space="preserve">                        </w:t>
      </w:r>
      <w:r>
        <w:rPr>
          <w:rFonts w:ascii="宋体" w:hAnsi="宋体" w:eastAsia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eastAsia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hint="eastAsia" w:ascii="宋体" w:hAnsi="宋体" w:eastAsia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ascii="宋体" w:hAnsi="宋体" w:eastAsia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hint="eastAsia" w:ascii="宋体" w:hAnsi="宋体" w:eastAsia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bookmarkStart w:id="0" w:name="_GoBack"/>
      <w:bookmarkEnd w:id="0"/>
      <w:r>
        <w:rPr>
          <w:rFonts w:ascii="宋体" w:hAnsi="宋体" w:eastAsia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2D7C61"/>
    <w:multiLevelType w:val="multilevel"/>
    <w:tmpl w:val="6A2D7C61"/>
    <w:lvl w:ilvl="0" w:tentative="0">
      <w:start w:val="1"/>
      <w:numFmt w:val="bullet"/>
      <w:pStyle w:val="3"/>
      <w:lvlText w:val=""/>
      <w:lvlJc w:val="left"/>
      <w:pPr>
        <w:tabs>
          <w:tab w:val="left" w:pos="845"/>
        </w:tabs>
        <w:ind w:left="845" w:hanging="420"/>
      </w:pPr>
      <w:rPr>
        <w:rFonts w:hint="default" w:ascii="Wingdings" w:hAnsi="Wingdings"/>
      </w:rPr>
    </w:lvl>
    <w:lvl w:ilvl="1" w:tentative="0">
      <w:start w:val="1"/>
      <w:numFmt w:val="bullet"/>
      <w:lvlText w:val=""/>
      <w:lvlJc w:val="left"/>
      <w:pPr>
        <w:tabs>
          <w:tab w:val="left" w:pos="1265"/>
        </w:tabs>
        <w:ind w:left="126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5"/>
        </w:tabs>
        <w:ind w:left="168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5"/>
        </w:tabs>
        <w:ind w:left="210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5"/>
        </w:tabs>
        <w:ind w:left="252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5"/>
        </w:tabs>
        <w:ind w:left="294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5"/>
        </w:tabs>
        <w:ind w:left="336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5"/>
        </w:tabs>
        <w:ind w:left="378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5"/>
        </w:tabs>
        <w:ind w:left="420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iYjhiYTA5MzhlYTAxZDQ0OWNiMDk2MjE4ZDIwZWEifQ=="/>
  </w:docVars>
  <w:rsids>
    <w:rsidRoot w:val="00BA0C1A"/>
    <w:rsid w:val="000C51B7"/>
    <w:rsid w:val="000E298D"/>
    <w:rsid w:val="001324B1"/>
    <w:rsid w:val="001E5C80"/>
    <w:rsid w:val="002115B8"/>
    <w:rsid w:val="00216EB9"/>
    <w:rsid w:val="00337A39"/>
    <w:rsid w:val="0059531B"/>
    <w:rsid w:val="005C1FD4"/>
    <w:rsid w:val="005F1E1B"/>
    <w:rsid w:val="00616505"/>
    <w:rsid w:val="0062213C"/>
    <w:rsid w:val="00633F40"/>
    <w:rsid w:val="006549AD"/>
    <w:rsid w:val="00684A38"/>
    <w:rsid w:val="00684D9C"/>
    <w:rsid w:val="006A5CF5"/>
    <w:rsid w:val="006B18D5"/>
    <w:rsid w:val="007050AB"/>
    <w:rsid w:val="007C7D40"/>
    <w:rsid w:val="007D69F1"/>
    <w:rsid w:val="008A4C2C"/>
    <w:rsid w:val="00A60633"/>
    <w:rsid w:val="00BA0C1A"/>
    <w:rsid w:val="00C061CB"/>
    <w:rsid w:val="00C604EC"/>
    <w:rsid w:val="00C91A65"/>
    <w:rsid w:val="00D713C5"/>
    <w:rsid w:val="00E26251"/>
    <w:rsid w:val="00E42AB7"/>
    <w:rsid w:val="00E44496"/>
    <w:rsid w:val="00EA1EE8"/>
    <w:rsid w:val="00F0730B"/>
    <w:rsid w:val="00F53662"/>
    <w:rsid w:val="00FE5F52"/>
    <w:rsid w:val="00FF240D"/>
    <w:rsid w:val="07E4257C"/>
    <w:rsid w:val="083D07F0"/>
    <w:rsid w:val="0B107E8B"/>
    <w:rsid w:val="105E3B74"/>
    <w:rsid w:val="1B9C3C2F"/>
    <w:rsid w:val="1C2C4424"/>
    <w:rsid w:val="1CD54CE6"/>
    <w:rsid w:val="1DBD4EA9"/>
    <w:rsid w:val="1DEC38DC"/>
    <w:rsid w:val="273620D5"/>
    <w:rsid w:val="277A5FE6"/>
    <w:rsid w:val="2F8B1D7E"/>
    <w:rsid w:val="30456175"/>
    <w:rsid w:val="36772279"/>
    <w:rsid w:val="37B808CB"/>
    <w:rsid w:val="38F06DDF"/>
    <w:rsid w:val="38F65E92"/>
    <w:rsid w:val="39EE33D6"/>
    <w:rsid w:val="434067C1"/>
    <w:rsid w:val="48884D37"/>
    <w:rsid w:val="4B9A123D"/>
    <w:rsid w:val="528B3EA6"/>
    <w:rsid w:val="568D20C3"/>
    <w:rsid w:val="598F0B5A"/>
    <w:rsid w:val="5A7E3D04"/>
    <w:rsid w:val="5D330497"/>
    <w:rsid w:val="673D154B"/>
    <w:rsid w:val="6BC71B07"/>
    <w:rsid w:val="6DDC5CCC"/>
    <w:rsid w:val="6EAF13B0"/>
    <w:rsid w:val="6F2754E5"/>
    <w:rsid w:val="6F7A4470"/>
    <w:rsid w:val="71061E72"/>
    <w:rsid w:val="77E6D5F5"/>
    <w:rsid w:val="7A3B2499"/>
    <w:rsid w:val="D5DFBFF2"/>
    <w:rsid w:val="FABDE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微软雅黑" w:hAnsi="微软雅黑" w:eastAsia="微软雅黑" w:cs="微软雅黑"/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3"/>
    <w:qFormat/>
    <w:uiPriority w:val="10"/>
    <w:pPr>
      <w:jc w:val="center"/>
    </w:pPr>
    <w:rPr>
      <w:rFonts w:ascii="Cambria" w:hAnsi="Cambria" w:eastAsia="微软雅黑" w:cs="Times New Roman"/>
      <w:iCs/>
      <w:color w:val="243F60"/>
      <w:sz w:val="10"/>
      <w:szCs w:val="60"/>
      <w:lang w:val="en-US" w:eastAsia="en-US" w:bidi="en-US"/>
    </w:rPr>
  </w:style>
  <w:style w:type="paragraph" w:customStyle="1" w:styleId="3">
    <w:name w:val="正文 + 行距: 1.5 倍行距"/>
    <w:next w:val="1"/>
    <w:qFormat/>
    <w:uiPriority w:val="0"/>
    <w:pPr>
      <w:numPr>
        <w:ilvl w:val="0"/>
        <w:numId w:val="1"/>
      </w:numPr>
      <w:spacing w:line="360" w:lineRule="auto"/>
    </w:pPr>
    <w:rPr>
      <w:rFonts w:ascii="Calibri" w:hAnsi="Calibri" w:eastAsia="微软雅黑" w:cs="Times New Roman"/>
      <w:sz w:val="24"/>
      <w:lang w:val="en-US" w:eastAsia="en-US" w:bidi="en-US"/>
    </w:r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批注框文本 Char"/>
    <w:basedOn w:val="10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正文（深信服科技）"/>
    <w:basedOn w:val="1"/>
    <w:qFormat/>
    <w:uiPriority w:val="0"/>
    <w:pPr>
      <w:widowControl/>
      <w:snapToGrid w:val="0"/>
      <w:ind w:firstLine="480" w:firstLineChars="200"/>
    </w:pPr>
    <w:rPr>
      <w:sz w:val="24"/>
      <w:szCs w:val="24"/>
    </w:rPr>
  </w:style>
  <w:style w:type="paragraph" w:styleId="17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2392</Words>
  <Characters>2519</Characters>
  <Lines>36</Lines>
  <Paragraphs>10</Paragraphs>
  <TotalTime>30</TotalTime>
  <ScaleCrop>false</ScaleCrop>
  <LinksUpToDate>false</LinksUpToDate>
  <CharactersWithSpaces>2547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2022-08-11T02:32:00Z</dcterms:created>
  <dc:creator>Tencent</dc:creator>
  <cp:lastModifiedBy>He。</cp:lastModifiedBy>
  <cp:lastPrinted>2022-09-03T01:30:00Z</cp:lastPrinted>
  <dcterms:modified xsi:type="dcterms:W3CDTF">2022-12-09T01:48:47Z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7A21DB33A039470089697A0D4F682A9B</vt:lpwstr>
  </property>
</Properties>
</file>