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2022年中央水利发展资金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通过在学院建造节水型设施，合理改造校园用水方式达到宣传教育，增强全校师生的节水意识，进一步降低学校的用水总量。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目前已完成节水型高校建设项目（一期）工程设计，准备公开招标施工建设。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0分，等级为低，设置绩效目标8个，实际完成0个，具体情况如下：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1)雨水收集蓄水池建设数量</w:t>
      </w:r>
      <w:r>
        <w:rPr>
          <w:rFonts w:ascii="仿宋" w:hAnsi="仿宋" w:eastAsia="仿宋" w:cs="仿宋"/>
          <w:sz w:val="32"/>
        </w:rPr>
        <w:t>(个)，目标值1，完成值0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2)学校节水制度建设数量</w:t>
      </w:r>
      <w:r>
        <w:rPr>
          <w:rFonts w:ascii="仿宋" w:hAnsi="仿宋" w:eastAsia="仿宋" w:cs="仿宋"/>
          <w:sz w:val="32"/>
        </w:rPr>
        <w:t>(个)，目标值1，完成值0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3)绿化喷灌设施建设数量</w:t>
      </w:r>
      <w:r>
        <w:rPr>
          <w:rFonts w:ascii="仿宋" w:hAnsi="仿宋" w:eastAsia="仿宋" w:cs="仿宋"/>
          <w:sz w:val="32"/>
        </w:rPr>
        <w:t>(个)，目标值1，完成值0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1)节水设施工程验收合格率</w:t>
      </w:r>
      <w:r>
        <w:rPr>
          <w:rFonts w:ascii="仿宋" w:hAnsi="仿宋" w:eastAsia="仿宋" w:cs="仿宋"/>
          <w:sz w:val="32"/>
        </w:rPr>
        <w:t>(%)，目标值100，完成值0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1)2022年项目投入成本</w:t>
      </w:r>
      <w:r>
        <w:rPr>
          <w:rFonts w:ascii="仿宋" w:hAnsi="仿宋" w:eastAsia="仿宋" w:cs="仿宋"/>
          <w:sz w:val="32"/>
        </w:rPr>
        <w:t>(万元)，目标值27，完成值0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1)月平均节水吨数</w:t>
      </w:r>
      <w:r>
        <w:rPr>
          <w:rFonts w:ascii="仿宋" w:hAnsi="仿宋" w:eastAsia="仿宋" w:cs="仿宋"/>
          <w:sz w:val="32"/>
        </w:rPr>
        <w:t>(吨)，目标值100，完成值0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1)受益群众满意度</w:t>
      </w:r>
      <w:r>
        <w:rPr>
          <w:rFonts w:ascii="仿宋" w:hAnsi="仿宋" w:eastAsia="仿宋" w:cs="仿宋"/>
          <w:sz w:val="32"/>
        </w:rPr>
        <w:t>(%)，目标值90，完成值0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专项资金拨付不及时.有关部门专款安排的时间与项目实施的时间相差甚远,影响了项目实施的进度,使项目难以发挥如期效益。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. 项目执行相关部门协作配合不到位，沟通不畅，项目推进手续缓慢。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. 受疫情影响，设计施工等公司单位无法到现场勘察，项目无法持续推进。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建议有关部门要根据项目实施进度及时拨付资金,尽可能减少资金拨付环节和资金拨付时间,避免资金闲置。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. 加强部门沟通协调，加大工作力度，高效推进项目建设。确保项目工作规范化，实事求是、依法依规确保项目建设有序实施。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. 加强监管，严格落实，努力提高科学决策水平。严格遵循上级主管部门意见，按照相关要求、手续持续推进。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2FB91F6D"/>
    <w:rsid w:val="35F966DB"/>
    <w:rsid w:val="395F7122"/>
    <w:rsid w:val="412D21C1"/>
    <w:rsid w:val="43790164"/>
    <w:rsid w:val="45632027"/>
    <w:rsid w:val="4B666DB1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18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