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hint="default"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hint="default"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  <w:lang w:val="en-US" w:eastAsia="zh-CN"/>
        </w:rPr>
        <w:t>2022</w:t>
      </w:r>
      <w:bookmarkStart w:id="0" w:name="_GoBack"/>
      <w:bookmarkEnd w:id="0"/>
      <w:r>
        <w:rPr>
          <w:rFonts w:ascii="宋体" w:hAnsi="宋体" w:eastAsia="宋体" w:cs="宋体"/>
          <w:b/>
          <w:sz w:val="44"/>
        </w:rPr>
        <w:t>年度市级</w:t>
      </w:r>
      <w:r>
        <w:rPr>
          <w:rFonts w:hint="eastAsia" w:ascii="宋体" w:hAnsi="宋体" w:cs="仿宋"/>
          <w:b/>
          <w:sz w:val="44"/>
          <w:szCs w:val="44"/>
          <w:lang w:val="en-US" w:eastAsia="zh-CN"/>
        </w:rPr>
        <w:t>预算项目绩效自评报告</w:t>
      </w:r>
    </w:p>
    <w:p>
      <w:pPr>
        <w:ind w:firstLine="640" w:firstLineChars="200"/>
        <w:jc w:val="center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2022年现代职业教育质量提升计划中央专项资金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>
      <w:pPr>
        <w:ind w:firstLine="627" w:firstLineChars="196"/>
        <w:rPr>
          <w:rFonts w:hint="default"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（一）专项基本情况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根据《福建省教育厅 福建省财政厅关于公布“福建省高水平职业院校和专业建设计划”立项建设单位名单的通知》（闽教职成【2021】25号），宁职院被评为“福建省高水平职业院校和专业建设计划”立项建设单位，根据项目任务书要求，该校高水平高职专业群5年建设规划项目总投入3000万元，其中：省财政投入400万元、市财政投入1500万元、行业企业投入300万元、学院自筹800万元</w:t>
      </w:r>
      <w:r>
        <w:rPr>
          <w:rFonts w:hint="eastAsia" w:ascii="仿宋" w:hAnsi="仿宋" w:eastAsia="仿宋"/>
          <w:sz w:val="32"/>
          <w:szCs w:val="32"/>
          <w:lang w:eastAsia="zh-CN"/>
        </w:rPr>
        <w:t>。本专项资金主要为专业群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2023年</w:t>
      </w:r>
      <w:r>
        <w:rPr>
          <w:rFonts w:hint="eastAsia" w:ascii="仿宋" w:hAnsi="仿宋" w:eastAsia="仿宋"/>
          <w:sz w:val="32"/>
          <w:szCs w:val="32"/>
          <w:lang w:eastAsia="zh-CN"/>
        </w:rPr>
        <w:t>省财政拨款和学校自筹部分。</w:t>
      </w:r>
    </w:p>
    <w:p>
      <w:pPr>
        <w:ind w:firstLine="643" w:firstLineChars="200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“机械制造及自动化高水平专业群”建设共完成10项一级指标，30项二级指标，125个工作任务，除智慧教学平台建设未按时间进度完成外，均已完成任务时序目标。</w:t>
      </w:r>
    </w:p>
    <w:p>
      <w:pPr>
        <w:ind w:firstLine="627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95.68分，等级为优，设置绩效目标10个，实际完成9个，具体情况如下：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1)现代学徒制招生人数</w:t>
      </w:r>
      <w:r>
        <w:rPr>
          <w:rFonts w:ascii="仿宋" w:hAnsi="仿宋" w:eastAsia="仿宋" w:cs="仿宋"/>
          <w:sz w:val="32"/>
        </w:rPr>
        <w:t>(人)，目标值30，完成值3</w:t>
      </w:r>
      <w:r>
        <w:rPr>
          <w:rFonts w:hint="eastAsia" w:ascii="仿宋" w:hAnsi="仿宋" w:eastAsia="仿宋" w:cs="仿宋"/>
          <w:sz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6，得分6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2)校级精品在线开放课程建设门数</w:t>
      </w:r>
      <w:r>
        <w:rPr>
          <w:rFonts w:ascii="仿宋" w:hAnsi="仿宋" w:eastAsia="仿宋" w:cs="仿宋"/>
          <w:sz w:val="32"/>
        </w:rPr>
        <w:t>(门)，目标值2，完成值4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6，得分6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3)建设专业群校内实训室的个数</w:t>
      </w:r>
      <w:r>
        <w:rPr>
          <w:rFonts w:ascii="仿宋" w:hAnsi="仿宋" w:eastAsia="仿宋" w:cs="仿宋"/>
          <w:sz w:val="32"/>
        </w:rPr>
        <w:t>(个)，目标值3，完成值4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6，得分6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1)现代学徒制招生专业覆盖率</w:t>
      </w:r>
      <w:r>
        <w:rPr>
          <w:rFonts w:ascii="仿宋" w:hAnsi="仿宋" w:eastAsia="仿宋" w:cs="仿宋"/>
          <w:sz w:val="32"/>
        </w:rPr>
        <w:t>(%)，目标值20，完成值20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6，得分6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2)在线开放课程专业课覆盖率</w:t>
      </w:r>
      <w:r>
        <w:rPr>
          <w:rFonts w:ascii="仿宋" w:hAnsi="仿宋" w:eastAsia="仿宋" w:cs="仿宋"/>
          <w:sz w:val="32"/>
        </w:rPr>
        <w:t>(%)，目标值20，完成值20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6，得分6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3)实训基地的使用比率</w:t>
      </w:r>
      <w:r>
        <w:rPr>
          <w:rFonts w:ascii="仿宋" w:hAnsi="仿宋" w:eastAsia="仿宋" w:cs="仿宋"/>
          <w:sz w:val="32"/>
        </w:rPr>
        <w:t>(%)，目标值80，完成值100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6，得分6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1)项目完成时间</w:t>
      </w:r>
      <w:r>
        <w:rPr>
          <w:rFonts w:ascii="仿宋" w:hAnsi="仿宋" w:eastAsia="仿宋" w:cs="仿宋"/>
          <w:sz w:val="32"/>
        </w:rPr>
        <w:t>(月)，目标值12，完成值12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7，得分7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4、成本指标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1)项目支出金额</w:t>
      </w:r>
      <w:r>
        <w:rPr>
          <w:rFonts w:ascii="仿宋" w:hAnsi="仿宋" w:eastAsia="仿宋" w:cs="仿宋"/>
          <w:sz w:val="32"/>
        </w:rPr>
        <w:t>(万元)，目标值167，完成值167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7，得分7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4、可持续影响指标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1)毕业生就业率</w:t>
      </w:r>
      <w:r>
        <w:rPr>
          <w:rFonts w:ascii="仿宋" w:hAnsi="仿宋" w:eastAsia="仿宋" w:cs="仿宋"/>
          <w:sz w:val="32"/>
        </w:rPr>
        <w:t>(%)，目标值98，完成值83.9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30，得分25.68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满意度指标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1)相关专业学生的满意度</w:t>
      </w:r>
      <w:r>
        <w:rPr>
          <w:rFonts w:ascii="仿宋" w:hAnsi="仿宋" w:eastAsia="仿宋" w:cs="仿宋"/>
          <w:sz w:val="32"/>
        </w:rPr>
        <w:t>(%)，目标值95，完成值95.72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hint="default"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ind w:left="840" w:leftChars="0" w:firstLine="420" w:firstLineChars="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  <w:tabs>
        <w:tab w:val="center" w:pos="4153"/>
        <w:tab w:val="right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4M2EwZTgwODgzZWY1NTA0ZDU3YWY5ZTBkMzZhNTQifQ=="/>
  </w:docVars>
  <w:rsids>
    <w:rsidRoot w:val="71776F75"/>
    <w:rsid w:val="07FB4740"/>
    <w:rsid w:val="0F2A2DE9"/>
    <w:rsid w:val="2FB91F6D"/>
    <w:rsid w:val="35F966DB"/>
    <w:rsid w:val="3E4D05A2"/>
    <w:rsid w:val="412D21C1"/>
    <w:rsid w:val="43790164"/>
    <w:rsid w:val="45632027"/>
    <w:rsid w:val="58C90448"/>
    <w:rsid w:val="71776F75"/>
    <w:rsid w:val="75D26F5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</Words>
  <Characters>750</Characters>
  <Lines>0</Lines>
  <Paragraphs>0</Paragraphs>
  <TotalTime>20</TotalTime>
  <ScaleCrop>false</ScaleCrop>
  <LinksUpToDate>false</LinksUpToDate>
  <CharactersWithSpaces>757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2022-03-03T08:53:00Z</dcterms:created>
  <dc:creator>86176</dc:creator>
  <cp:lastModifiedBy>嗨叶</cp:lastModifiedBy>
  <dcterms:modified xsi:type="dcterms:W3CDTF">2023-10-09T03:11:23Z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30AFF93CEA404EE7987706C8585BED57</vt:lpwstr>
  </property>
</Properties>
</file>