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hint="default"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hint="default"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  <w:lang w:val="en-US" w:eastAsia="zh-CN"/>
        </w:rPr>
        <w:t>2022</w:t>
      </w:r>
      <w:bookmarkStart w:id="0" w:name="_GoBack"/>
      <w:bookmarkEnd w:id="0"/>
      <w:r>
        <w:rPr>
          <w:rFonts w:ascii="宋体" w:hAnsi="宋体" w:eastAsia="宋体" w:cs="宋体"/>
          <w:b/>
          <w:sz w:val="44"/>
        </w:rPr>
        <w:t>年度市级</w:t>
      </w:r>
      <w:r>
        <w:rPr>
          <w:rFonts w:hint="eastAsia" w:ascii="宋体" w:hAnsi="宋体" w:cs="仿宋"/>
          <w:b/>
          <w:sz w:val="44"/>
          <w:szCs w:val="44"/>
          <w:lang w:val="en-US" w:eastAsia="zh-CN"/>
        </w:rPr>
        <w:t>预算项目绩效自评报告</w:t>
      </w:r>
    </w:p>
    <w:p>
      <w:pPr>
        <w:ind w:firstLine="640" w:firstLineChars="200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市委党建专项经费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ind w:firstLine="627" w:firstLineChars="196"/>
        <w:rPr>
          <w:rFonts w:hint="default"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（一）专项基本情况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本项目主要用于建设信息技术与工程学院党建宣传窗口、建设思政部党支部党员活动室、开展基层党务干部职业能力大赛、开展“党建品牌提升”行动。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按照项目计划，完成信息技术与工程学院党建宣传窗口、思政部党支部党员活动室、基层党务干部职业能力大赛等项目。</w:t>
      </w: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100分，等级为优，设置绩效目标8个，实际完成8个，具体情况如下：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1)党建宣传窗口数量</w:t>
      </w:r>
      <w:r>
        <w:rPr>
          <w:rFonts w:ascii="仿宋" w:hAnsi="仿宋" w:eastAsia="仿宋" w:cs="仿宋"/>
          <w:sz w:val="32"/>
        </w:rPr>
        <w:t>(个)，目标值1，完成值1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2)思政部党支部党员活动室数量</w:t>
      </w:r>
      <w:r>
        <w:rPr>
          <w:rFonts w:ascii="仿宋" w:hAnsi="仿宋" w:eastAsia="仿宋" w:cs="仿宋"/>
          <w:sz w:val="32"/>
        </w:rPr>
        <w:t>(个)，目标值0，完成值1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3)举办基层党务干部职业能力大赛的次数</w:t>
      </w:r>
      <w:r>
        <w:rPr>
          <w:rFonts w:ascii="仿宋" w:hAnsi="仿宋" w:eastAsia="仿宋" w:cs="仿宋"/>
          <w:sz w:val="32"/>
        </w:rPr>
        <w:t>(个)，目标值1，完成值1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1)项目合格率</w:t>
      </w:r>
      <w:r>
        <w:rPr>
          <w:rFonts w:ascii="仿宋" w:hAnsi="仿宋" w:eastAsia="仿宋" w:cs="仿宋"/>
          <w:sz w:val="32"/>
        </w:rPr>
        <w:t>(%)，目标值100，完成值100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1)项目完成率</w:t>
      </w:r>
      <w:r>
        <w:rPr>
          <w:rFonts w:ascii="仿宋" w:hAnsi="仿宋" w:eastAsia="仿宋" w:cs="仿宋"/>
          <w:sz w:val="32"/>
        </w:rPr>
        <w:t>(%)，目标值100，完成值100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4、成本指标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1)资金支出额</w:t>
      </w:r>
      <w:r>
        <w:rPr>
          <w:rFonts w:ascii="仿宋" w:hAnsi="仿宋" w:eastAsia="仿宋" w:cs="仿宋"/>
          <w:sz w:val="32"/>
        </w:rPr>
        <w:t>(万元)，目标值10，完成值10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1)党员教育培训基地增长率</w:t>
      </w:r>
      <w:r>
        <w:rPr>
          <w:rFonts w:ascii="仿宋" w:hAnsi="仿宋" w:eastAsia="仿宋" w:cs="仿宋"/>
          <w:sz w:val="32"/>
        </w:rPr>
        <w:t>(%)，目标值100，完成值100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4、可持续影响指标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1)师生满意率</w:t>
      </w:r>
      <w:r>
        <w:rPr>
          <w:rFonts w:ascii="仿宋" w:hAnsi="仿宋" w:eastAsia="仿宋" w:cs="仿宋"/>
          <w:sz w:val="32"/>
        </w:rPr>
        <w:t>(%)，目标值95，完成值100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hint="default"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基层党务干部职业能力大赛项目进展慢，分三项比赛，时间间隔长。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确定项目方案，做好项目各项计划，沟通活动有关部门，合理确定资金使用，及时开展项目。</w:t>
      </w:r>
    </w:p>
    <w:p>
      <w:pPr>
        <w:ind w:left="840" w:leftChars="0" w:firstLine="420" w:firstLineChars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2EwZTgwODgzZWY1NTA0ZDU3YWY5ZTBkMzZhNTQifQ=="/>
  </w:docVars>
  <w:rsids>
    <w:rsidRoot w:val="71776F75"/>
    <w:rsid w:val="07FB4740"/>
    <w:rsid w:val="2FB91F6D"/>
    <w:rsid w:val="31330535"/>
    <w:rsid w:val="35F966DB"/>
    <w:rsid w:val="3CCF1797"/>
    <w:rsid w:val="412D21C1"/>
    <w:rsid w:val="43790164"/>
    <w:rsid w:val="45632027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750</Characters>
  <Lines>0</Lines>
  <Paragraphs>0</Paragraphs>
  <TotalTime>19</TotalTime>
  <ScaleCrop>false</ScaleCrop>
  <LinksUpToDate>false</LinksUpToDate>
  <CharactersWithSpaces>757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嗨叶</cp:lastModifiedBy>
  <dcterms:modified xsi:type="dcterms:W3CDTF">2023-10-09T03:12:09Z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30AFF93CEA404EE7987706C8585BED57</vt:lpwstr>
  </property>
</Properties>
</file>