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969">
      <w:pPr>
        <w:pStyle w:val="3"/>
        <w:rPr>
          <w:rFonts w:hint="eastAsia"/>
          <w:sz w:val="20"/>
        </w:rPr>
      </w:pPr>
    </w:p>
    <w:p w14:paraId="6D054FAA">
      <w:pPr>
        <w:pStyle w:val="3"/>
        <w:rPr>
          <w:rFonts w:hint="eastAsia"/>
          <w:sz w:val="20"/>
        </w:rPr>
      </w:pPr>
    </w:p>
    <w:p w14:paraId="63D2ACA7">
      <w:pPr>
        <w:pStyle w:val="3"/>
        <w:rPr>
          <w:rFonts w:hint="eastAsia"/>
          <w:sz w:val="20"/>
        </w:rPr>
      </w:pPr>
    </w:p>
    <w:p w14:paraId="21A61FB4">
      <w:pPr>
        <w:pStyle w:val="3"/>
        <w:rPr>
          <w:rFonts w:hint="eastAsia"/>
          <w:sz w:val="20"/>
        </w:rPr>
      </w:pPr>
    </w:p>
    <w:p w14:paraId="54B04F92">
      <w:pPr>
        <w:pStyle w:val="3"/>
        <w:rPr>
          <w:rFonts w:hint="eastAsia"/>
          <w:sz w:val="20"/>
        </w:rPr>
      </w:pPr>
    </w:p>
    <w:p w14:paraId="3BC9FFB7">
      <w:pPr>
        <w:pStyle w:val="3"/>
        <w:spacing w:before="8"/>
        <w:rPr>
          <w:rFonts w:hint="eastAsia"/>
          <w:sz w:val="27"/>
        </w:rPr>
      </w:pPr>
    </w:p>
    <w:p w14:paraId="41C51711">
      <w:pPr>
        <w:pStyle w:val="12"/>
        <w:spacing w:line="1059" w:lineRule="exact"/>
        <w:rPr>
          <w:rFonts w:hint="eastAsia"/>
        </w:rPr>
      </w:pPr>
      <w:r>
        <w:rPr>
          <w:rFonts w:hint="eastAsia"/>
        </w:rPr>
        <w:t>邀请</w:t>
      </w:r>
      <w:r>
        <w:t>比选项目</w:t>
      </w:r>
    </w:p>
    <w:p w14:paraId="6991FAF9">
      <w:pPr>
        <w:spacing w:before="171"/>
        <w:ind w:left="1077" w:right="1081"/>
        <w:jc w:val="center"/>
        <w:rPr>
          <w:rFonts w:hint="eastAsia" w:ascii="黑体" w:eastAsia="黑体"/>
          <w:b/>
          <w:sz w:val="84"/>
        </w:rPr>
      </w:pPr>
      <w:r>
        <w:rPr>
          <w:rFonts w:hint="eastAsia" w:ascii="黑体" w:eastAsia="黑体"/>
          <w:b/>
          <w:sz w:val="84"/>
        </w:rPr>
        <w:t>采购文件</w:t>
      </w:r>
    </w:p>
    <w:p w14:paraId="7F120D6D">
      <w:pPr>
        <w:pStyle w:val="3"/>
        <w:rPr>
          <w:rFonts w:hint="eastAsia" w:ascii="黑体"/>
          <w:b/>
          <w:sz w:val="84"/>
        </w:rPr>
      </w:pPr>
    </w:p>
    <w:p w14:paraId="1786FED4">
      <w:pPr>
        <w:pStyle w:val="3"/>
        <w:spacing w:before="12"/>
        <w:rPr>
          <w:rFonts w:hint="eastAsia" w:ascii="黑体"/>
          <w:b/>
          <w:sz w:val="119"/>
        </w:rPr>
      </w:pPr>
    </w:p>
    <w:p w14:paraId="13C68B98">
      <w:pPr>
        <w:tabs>
          <w:tab w:val="left" w:pos="7645"/>
        </w:tabs>
        <w:ind w:left="749"/>
        <w:jc w:val="center"/>
        <w:rPr>
          <w:rFonts w:ascii="Times New Roman" w:eastAsia="Times New Roman"/>
          <w:sz w:val="36"/>
          <w:u w:val="single"/>
        </w:rPr>
      </w:pPr>
      <w:r>
        <w:rPr>
          <w:b/>
          <w:sz w:val="36"/>
        </w:rPr>
        <w:t>项目名称</w:t>
      </w:r>
      <w:r>
        <w:rPr>
          <w:rFonts w:ascii="Times New Roman" w:eastAsia="Times New Roman"/>
          <w:b/>
          <w:sz w:val="36"/>
        </w:rPr>
        <w:t>:</w:t>
      </w:r>
      <w:r>
        <w:rPr>
          <w:rFonts w:hint="eastAsia" w:ascii="Times New Roman" w:eastAsia="宋体"/>
          <w:b/>
          <w:sz w:val="36"/>
        </w:rPr>
        <w:t xml:space="preserve">   </w:t>
      </w:r>
      <w:r>
        <w:rPr>
          <w:rFonts w:hint="eastAsia" w:ascii="Times New Roman" w:eastAsia="宋体"/>
          <w:b/>
          <w:sz w:val="36"/>
          <w:u w:val="single"/>
        </w:rPr>
        <w:t xml:space="preserve">        </w:t>
      </w:r>
      <w:r>
        <w:rPr>
          <w:rFonts w:hint="eastAsia" w:ascii="Times New Roman" w:eastAsia="宋体"/>
          <w:sz w:val="36"/>
          <w:u w:val="single"/>
        </w:rPr>
        <w:t xml:space="preserve">2025年消防维保采购项目 </w:t>
      </w:r>
    </w:p>
    <w:p w14:paraId="24DBF755">
      <w:pPr>
        <w:pStyle w:val="3"/>
        <w:spacing w:before="9"/>
        <w:rPr>
          <w:rFonts w:hint="eastAsia" w:ascii="Times New Roman"/>
          <w:sz w:val="21"/>
        </w:rPr>
      </w:pPr>
    </w:p>
    <w:p w14:paraId="29DA4B0C">
      <w:pPr>
        <w:spacing w:before="49"/>
        <w:ind w:left="749" w:right="32" w:firstLine="1084" w:firstLineChars="300"/>
        <w:jc w:val="both"/>
        <w:rPr>
          <w:rFonts w:hint="eastAsia"/>
          <w:b/>
          <w:sz w:val="36"/>
        </w:rPr>
      </w:pPr>
      <w:r>
        <w:rPr>
          <w:b/>
          <w:sz w:val="36"/>
        </w:rPr>
        <w:t>经办单位：</w:t>
      </w:r>
      <w:r>
        <w:rPr>
          <w:rFonts w:hint="eastAsia"/>
          <w:b/>
          <w:sz w:val="36"/>
          <w:u w:val="single"/>
        </w:rPr>
        <w:t xml:space="preserve">     宁德职业技术学院      </w:t>
      </w:r>
    </w:p>
    <w:p w14:paraId="0F41C7BC">
      <w:pPr>
        <w:pStyle w:val="3"/>
        <w:spacing w:before="7"/>
        <w:rPr>
          <w:rFonts w:hint="eastAsia"/>
          <w:b/>
          <w:sz w:val="19"/>
        </w:rPr>
      </w:pPr>
    </w:p>
    <w:p w14:paraId="72B7720E">
      <w:pPr>
        <w:tabs>
          <w:tab w:val="left" w:pos="8675"/>
        </w:tabs>
        <w:spacing w:before="49"/>
        <w:ind w:left="1720"/>
        <w:rPr>
          <w:rFonts w:ascii="Times New Roman" w:eastAsia="Times New Roman"/>
          <w:b/>
          <w:sz w:val="36"/>
        </w:rPr>
      </w:pPr>
      <w:r>
        <w:rPr>
          <w:b/>
          <w:sz w:val="36"/>
        </w:rPr>
        <w:t>发布时间：</w:t>
      </w:r>
      <w:r>
        <w:rPr>
          <w:rFonts w:ascii="Times New Roman" w:eastAsia="Times New Roman"/>
          <w:b/>
          <w:sz w:val="36"/>
          <w:u w:val="single"/>
        </w:rPr>
        <w:t xml:space="preserve"> </w:t>
      </w:r>
      <w:r>
        <w:rPr>
          <w:rFonts w:hint="eastAsia" w:ascii="Times New Roman" w:eastAsia="宋体"/>
          <w:b/>
          <w:sz w:val="36"/>
          <w:u w:val="single"/>
        </w:rPr>
        <w:t xml:space="preserve">             2025年11月</w:t>
      </w:r>
      <w:r>
        <w:rPr>
          <w:rFonts w:hint="eastAsia" w:ascii="Times New Roman" w:eastAsia="宋体"/>
          <w:b/>
          <w:sz w:val="36"/>
          <w:u w:val="single"/>
          <w:lang w:val="en-US" w:eastAsia="zh-CN"/>
        </w:rPr>
        <w:t>25</w:t>
      </w:r>
      <w:r>
        <w:rPr>
          <w:rFonts w:hint="eastAsia" w:ascii="Times New Roman" w:eastAsia="宋体"/>
          <w:b/>
          <w:sz w:val="36"/>
          <w:u w:val="single"/>
        </w:rPr>
        <w:t>日</w:t>
      </w:r>
      <w:r>
        <w:rPr>
          <w:rFonts w:ascii="Times New Roman" w:eastAsia="Times New Roman"/>
          <w:b/>
          <w:sz w:val="36"/>
          <w:u w:val="single"/>
        </w:rPr>
        <w:tab/>
      </w:r>
    </w:p>
    <w:p w14:paraId="614B3023">
      <w:pPr>
        <w:rPr>
          <w:rFonts w:ascii="Times New Roman" w:eastAsia="Times New Roman"/>
          <w:sz w:val="36"/>
        </w:rPr>
        <w:sectPr>
          <w:footerReference r:id="rId3" w:type="default"/>
          <w:footerReference r:id="rId4" w:type="even"/>
          <w:pgSz w:w="11910" w:h="16840"/>
          <w:pgMar w:top="1420" w:right="1160" w:bottom="1340" w:left="1160" w:header="0" w:footer="1146" w:gutter="0"/>
          <w:cols w:space="720" w:num="1"/>
        </w:sectPr>
      </w:pPr>
    </w:p>
    <w:p w14:paraId="60B1465D">
      <w:pPr>
        <w:spacing w:before="15"/>
        <w:ind w:left="749" w:right="747"/>
        <w:jc w:val="center"/>
        <w:rPr>
          <w:rFonts w:hint="eastAsia"/>
          <w:sz w:val="52"/>
        </w:rPr>
      </w:pPr>
      <w:r>
        <w:rPr>
          <w:sz w:val="52"/>
        </w:rPr>
        <w:t>目录</w:t>
      </w:r>
    </w:p>
    <w:p w14:paraId="2FBBBDC0">
      <w:pPr>
        <w:pStyle w:val="3"/>
        <w:tabs>
          <w:tab w:val="right" w:leader="dot" w:pos="9485"/>
        </w:tabs>
        <w:spacing w:before="245"/>
        <w:ind w:left="640"/>
        <w:rPr>
          <w:rFonts w:hint="eastAsia"/>
        </w:rPr>
      </w:pPr>
    </w:p>
    <w:p w14:paraId="2D7229DD">
      <w:pPr>
        <w:numPr>
          <w:ilvl w:val="0"/>
          <w:numId w:val="2"/>
        </w:numPr>
        <w:rPr>
          <w:rFonts w:hint="eastAsia"/>
          <w:sz w:val="44"/>
          <w:szCs w:val="44"/>
        </w:rPr>
      </w:pPr>
      <w:r>
        <w:rPr>
          <w:rFonts w:hint="eastAsia"/>
          <w:sz w:val="44"/>
          <w:szCs w:val="44"/>
        </w:rPr>
        <w:t>比选邀请函</w:t>
      </w:r>
    </w:p>
    <w:p w14:paraId="1E2284AB">
      <w:pPr>
        <w:rPr>
          <w:rFonts w:hint="eastAsia"/>
          <w:sz w:val="44"/>
          <w:szCs w:val="44"/>
        </w:rPr>
      </w:pPr>
    </w:p>
    <w:p w14:paraId="122F75F7">
      <w:pPr>
        <w:numPr>
          <w:ilvl w:val="0"/>
          <w:numId w:val="2"/>
        </w:numPr>
        <w:rPr>
          <w:rFonts w:hint="eastAsia"/>
          <w:sz w:val="44"/>
          <w:szCs w:val="44"/>
        </w:rPr>
      </w:pPr>
      <w:r>
        <w:rPr>
          <w:rFonts w:hint="eastAsia"/>
          <w:sz w:val="44"/>
          <w:szCs w:val="44"/>
        </w:rPr>
        <w:t>比选方案</w:t>
      </w:r>
    </w:p>
    <w:p w14:paraId="23DB7C76">
      <w:pPr>
        <w:rPr>
          <w:rFonts w:hint="eastAsia"/>
          <w:sz w:val="44"/>
          <w:szCs w:val="44"/>
        </w:rPr>
      </w:pPr>
    </w:p>
    <w:p w14:paraId="508FD828">
      <w:pPr>
        <w:jc w:val="center"/>
        <w:rPr>
          <w:rFonts w:hint="eastAsia" w:asciiTheme="minorEastAsia" w:hAnsiTheme="minorEastAsia" w:eastAsiaTheme="minorEastAsia" w:cstheme="minorEastAsia"/>
          <w:b/>
          <w:bCs/>
          <w:sz w:val="32"/>
          <w:szCs w:val="32"/>
        </w:rPr>
      </w:pPr>
      <w:bookmarkStart w:id="0" w:name="_bookmark0"/>
      <w:bookmarkEnd w:id="0"/>
    </w:p>
    <w:p w14:paraId="6E19AC1A">
      <w:pPr>
        <w:jc w:val="center"/>
        <w:rPr>
          <w:rFonts w:hint="eastAsia" w:asciiTheme="minorEastAsia" w:hAnsiTheme="minorEastAsia" w:eastAsiaTheme="minorEastAsia" w:cstheme="minorEastAsia"/>
          <w:b/>
          <w:bCs/>
          <w:sz w:val="32"/>
          <w:szCs w:val="32"/>
        </w:rPr>
      </w:pPr>
    </w:p>
    <w:p w14:paraId="3ED97A89">
      <w:pPr>
        <w:jc w:val="center"/>
        <w:rPr>
          <w:rFonts w:hint="eastAsia" w:asciiTheme="minorEastAsia" w:hAnsiTheme="minorEastAsia" w:eastAsiaTheme="minorEastAsia" w:cstheme="minorEastAsia"/>
          <w:b/>
          <w:bCs/>
          <w:sz w:val="32"/>
          <w:szCs w:val="32"/>
        </w:rPr>
      </w:pPr>
    </w:p>
    <w:p w14:paraId="65108447">
      <w:pPr>
        <w:jc w:val="center"/>
        <w:rPr>
          <w:rFonts w:hint="eastAsia" w:asciiTheme="minorEastAsia" w:hAnsiTheme="minorEastAsia" w:eastAsiaTheme="minorEastAsia" w:cstheme="minorEastAsia"/>
          <w:b/>
          <w:bCs/>
          <w:sz w:val="32"/>
          <w:szCs w:val="32"/>
        </w:rPr>
      </w:pPr>
    </w:p>
    <w:p w14:paraId="12171DA3">
      <w:pPr>
        <w:jc w:val="center"/>
        <w:rPr>
          <w:rFonts w:hint="eastAsia" w:asciiTheme="minorEastAsia" w:hAnsiTheme="minorEastAsia" w:eastAsiaTheme="minorEastAsia" w:cstheme="minorEastAsia"/>
          <w:b/>
          <w:bCs/>
          <w:sz w:val="32"/>
          <w:szCs w:val="32"/>
        </w:rPr>
      </w:pPr>
    </w:p>
    <w:p w14:paraId="4827B838">
      <w:pPr>
        <w:jc w:val="center"/>
        <w:rPr>
          <w:rFonts w:hint="eastAsia" w:asciiTheme="minorEastAsia" w:hAnsiTheme="minorEastAsia" w:eastAsiaTheme="minorEastAsia" w:cstheme="minorEastAsia"/>
          <w:b/>
          <w:bCs/>
          <w:sz w:val="32"/>
          <w:szCs w:val="32"/>
        </w:rPr>
      </w:pPr>
    </w:p>
    <w:p w14:paraId="3F88892E">
      <w:pPr>
        <w:jc w:val="center"/>
        <w:rPr>
          <w:rFonts w:hint="eastAsia" w:asciiTheme="minorEastAsia" w:hAnsiTheme="minorEastAsia" w:eastAsiaTheme="minorEastAsia" w:cstheme="minorEastAsia"/>
          <w:b/>
          <w:bCs/>
          <w:sz w:val="32"/>
          <w:szCs w:val="32"/>
        </w:rPr>
      </w:pPr>
    </w:p>
    <w:p w14:paraId="1DB84C9A">
      <w:pPr>
        <w:jc w:val="center"/>
        <w:rPr>
          <w:rFonts w:hint="eastAsia" w:asciiTheme="minorEastAsia" w:hAnsiTheme="minorEastAsia" w:eastAsiaTheme="minorEastAsia" w:cstheme="minorEastAsia"/>
          <w:b/>
          <w:bCs/>
          <w:sz w:val="32"/>
          <w:szCs w:val="32"/>
        </w:rPr>
      </w:pPr>
    </w:p>
    <w:p w14:paraId="7B1F7D7D">
      <w:pPr>
        <w:jc w:val="center"/>
        <w:rPr>
          <w:rFonts w:hint="eastAsia" w:asciiTheme="minorEastAsia" w:hAnsiTheme="minorEastAsia" w:eastAsiaTheme="minorEastAsia" w:cstheme="minorEastAsia"/>
          <w:b/>
          <w:bCs/>
          <w:sz w:val="32"/>
          <w:szCs w:val="32"/>
        </w:rPr>
      </w:pPr>
    </w:p>
    <w:p w14:paraId="65D7EFE7">
      <w:pPr>
        <w:jc w:val="center"/>
        <w:rPr>
          <w:rFonts w:hint="eastAsia" w:asciiTheme="minorEastAsia" w:hAnsiTheme="minorEastAsia" w:eastAsiaTheme="minorEastAsia" w:cstheme="minorEastAsia"/>
          <w:b/>
          <w:bCs/>
          <w:sz w:val="32"/>
          <w:szCs w:val="32"/>
        </w:rPr>
      </w:pPr>
    </w:p>
    <w:p w14:paraId="0BF51EED">
      <w:pPr>
        <w:jc w:val="center"/>
        <w:rPr>
          <w:rFonts w:hint="eastAsia" w:asciiTheme="minorEastAsia" w:hAnsiTheme="minorEastAsia" w:eastAsiaTheme="minorEastAsia" w:cstheme="minorEastAsia"/>
          <w:b/>
          <w:bCs/>
          <w:sz w:val="32"/>
          <w:szCs w:val="32"/>
        </w:rPr>
      </w:pPr>
    </w:p>
    <w:p w14:paraId="56E6A7E4">
      <w:pPr>
        <w:jc w:val="center"/>
        <w:rPr>
          <w:rFonts w:hint="eastAsia" w:asciiTheme="minorEastAsia" w:hAnsiTheme="minorEastAsia" w:eastAsiaTheme="minorEastAsia" w:cstheme="minorEastAsia"/>
          <w:b/>
          <w:bCs/>
          <w:sz w:val="32"/>
          <w:szCs w:val="32"/>
        </w:rPr>
      </w:pPr>
    </w:p>
    <w:p w14:paraId="7B29E766">
      <w:pPr>
        <w:jc w:val="center"/>
        <w:rPr>
          <w:rFonts w:hint="eastAsia" w:asciiTheme="minorEastAsia" w:hAnsiTheme="minorEastAsia" w:eastAsiaTheme="minorEastAsia" w:cstheme="minorEastAsia"/>
          <w:b/>
          <w:bCs/>
          <w:sz w:val="32"/>
          <w:szCs w:val="32"/>
        </w:rPr>
      </w:pPr>
    </w:p>
    <w:p w14:paraId="32161982">
      <w:pPr>
        <w:jc w:val="center"/>
        <w:rPr>
          <w:rFonts w:hint="eastAsia" w:asciiTheme="minorEastAsia" w:hAnsiTheme="minorEastAsia" w:eastAsiaTheme="minorEastAsia" w:cstheme="minorEastAsia"/>
          <w:b/>
          <w:bCs/>
          <w:sz w:val="32"/>
          <w:szCs w:val="32"/>
        </w:rPr>
      </w:pPr>
    </w:p>
    <w:p w14:paraId="7686F640">
      <w:pPr>
        <w:jc w:val="center"/>
        <w:rPr>
          <w:rFonts w:hint="eastAsia" w:asciiTheme="minorEastAsia" w:hAnsiTheme="minorEastAsia" w:eastAsiaTheme="minorEastAsia" w:cstheme="minorEastAsia"/>
          <w:b/>
          <w:bCs/>
          <w:sz w:val="32"/>
          <w:szCs w:val="32"/>
        </w:rPr>
      </w:pPr>
    </w:p>
    <w:p w14:paraId="7576DC9E">
      <w:pPr>
        <w:jc w:val="center"/>
        <w:rPr>
          <w:rFonts w:hint="eastAsia" w:asciiTheme="minorEastAsia" w:hAnsiTheme="minorEastAsia" w:eastAsiaTheme="minorEastAsia" w:cstheme="minorEastAsia"/>
          <w:b/>
          <w:bCs/>
          <w:sz w:val="32"/>
          <w:szCs w:val="32"/>
        </w:rPr>
      </w:pPr>
    </w:p>
    <w:p w14:paraId="03C30338">
      <w:pPr>
        <w:jc w:val="center"/>
        <w:rPr>
          <w:rFonts w:hint="eastAsia" w:asciiTheme="minorEastAsia" w:hAnsiTheme="minorEastAsia" w:eastAsiaTheme="minorEastAsia" w:cstheme="minorEastAsia"/>
          <w:b/>
          <w:bCs/>
          <w:sz w:val="32"/>
          <w:szCs w:val="32"/>
        </w:rPr>
      </w:pPr>
    </w:p>
    <w:p w14:paraId="5B07E7F6">
      <w:pPr>
        <w:jc w:val="center"/>
        <w:rPr>
          <w:rFonts w:hint="eastAsia" w:asciiTheme="minorEastAsia" w:hAnsiTheme="minorEastAsia" w:eastAsiaTheme="minorEastAsia" w:cstheme="minorEastAsia"/>
          <w:b/>
          <w:bCs/>
          <w:sz w:val="32"/>
          <w:szCs w:val="32"/>
        </w:rPr>
      </w:pPr>
    </w:p>
    <w:p w14:paraId="52A95E26">
      <w:pPr>
        <w:jc w:val="center"/>
        <w:rPr>
          <w:rFonts w:hint="eastAsia" w:asciiTheme="minorEastAsia" w:hAnsiTheme="minorEastAsia" w:eastAsiaTheme="minorEastAsia" w:cstheme="minorEastAsia"/>
          <w:b/>
          <w:bCs/>
          <w:sz w:val="32"/>
          <w:szCs w:val="32"/>
        </w:rPr>
      </w:pPr>
    </w:p>
    <w:p w14:paraId="34CEC09B">
      <w:pPr>
        <w:jc w:val="center"/>
        <w:rPr>
          <w:rFonts w:hint="eastAsia" w:asciiTheme="minorEastAsia" w:hAnsiTheme="minorEastAsia" w:eastAsiaTheme="minorEastAsia" w:cstheme="minorEastAsia"/>
          <w:b/>
          <w:bCs/>
          <w:sz w:val="32"/>
          <w:szCs w:val="32"/>
        </w:rPr>
      </w:pPr>
    </w:p>
    <w:p w14:paraId="6A6FE935">
      <w:pPr>
        <w:jc w:val="center"/>
        <w:rPr>
          <w:rFonts w:hint="eastAsia" w:asciiTheme="minorEastAsia" w:hAnsiTheme="minorEastAsia" w:eastAsiaTheme="minorEastAsia" w:cstheme="minorEastAsia"/>
          <w:b/>
          <w:bCs/>
          <w:sz w:val="32"/>
          <w:szCs w:val="32"/>
        </w:rPr>
      </w:pPr>
    </w:p>
    <w:p w14:paraId="7FACAA07">
      <w:pPr>
        <w:jc w:val="center"/>
        <w:rPr>
          <w:rFonts w:hint="eastAsia" w:asciiTheme="minorEastAsia" w:hAnsiTheme="minorEastAsia" w:eastAsiaTheme="minorEastAsia" w:cstheme="minorEastAsia"/>
          <w:b/>
          <w:bCs/>
          <w:sz w:val="32"/>
          <w:szCs w:val="32"/>
        </w:rPr>
      </w:pPr>
    </w:p>
    <w:p w14:paraId="0815CDBD">
      <w:pPr>
        <w:jc w:val="center"/>
        <w:rPr>
          <w:rFonts w:hint="eastAsia" w:asciiTheme="minorEastAsia" w:hAnsiTheme="minorEastAsia" w:eastAsiaTheme="minorEastAsia" w:cstheme="minorEastAsia"/>
          <w:b/>
          <w:bCs/>
          <w:sz w:val="32"/>
          <w:szCs w:val="32"/>
        </w:rPr>
      </w:pPr>
    </w:p>
    <w:p w14:paraId="5CBA415C">
      <w:pPr>
        <w:jc w:val="center"/>
        <w:rPr>
          <w:rFonts w:hint="eastAsia" w:asciiTheme="minorEastAsia" w:hAnsiTheme="minorEastAsia" w:eastAsiaTheme="minorEastAsia" w:cstheme="minorEastAsia"/>
          <w:b/>
          <w:bCs/>
          <w:sz w:val="32"/>
          <w:szCs w:val="32"/>
        </w:rPr>
      </w:pPr>
    </w:p>
    <w:p w14:paraId="25120724">
      <w:pPr>
        <w:spacing w:line="50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第一章  比选邀请函</w:t>
      </w:r>
    </w:p>
    <w:p w14:paraId="4ADD4732">
      <w:pPr>
        <w:spacing w:line="500" w:lineRule="exact"/>
        <w:jc w:val="both"/>
        <w:rPr>
          <w:rFonts w:hint="eastAsia" w:ascii="宋体" w:hAnsi="宋体" w:eastAsia="宋体" w:cs="宋体"/>
          <w:sz w:val="28"/>
          <w:szCs w:val="28"/>
          <w:u w:val="single"/>
        </w:rPr>
      </w:pPr>
      <w:r>
        <w:rPr>
          <w:rFonts w:hint="eastAsia" w:ascii="宋体" w:hAnsi="宋体" w:eastAsia="宋体" w:cs="宋体"/>
          <w:sz w:val="28"/>
          <w:szCs w:val="28"/>
        </w:rPr>
        <w:t>xxxxxxx公司：</w:t>
      </w:r>
    </w:p>
    <w:p w14:paraId="3FDB0252">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我校拟对</w:t>
      </w:r>
      <w:r>
        <w:rPr>
          <w:rFonts w:hint="eastAsia" w:ascii="宋体" w:hAnsi="宋体" w:eastAsia="宋体" w:cs="宋体"/>
          <w:bCs/>
          <w:sz w:val="28"/>
          <w:szCs w:val="28"/>
          <w:u w:val="single"/>
        </w:rPr>
        <w:t>宁德职业技术学院消防维保</w:t>
      </w:r>
      <w:r>
        <w:rPr>
          <w:rFonts w:hint="eastAsia" w:ascii="宋体" w:hAnsi="宋体" w:eastAsia="宋体" w:cs="宋体"/>
          <w:sz w:val="28"/>
          <w:szCs w:val="28"/>
        </w:rPr>
        <w:t>进行询价比选 ，现诚邀贵公司参与此次询价比选。</w:t>
      </w:r>
    </w:p>
    <w:p w14:paraId="02AFD47E">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sz w:val="28"/>
          <w:szCs w:val="28"/>
        </w:rPr>
        <w:t>项目概况</w:t>
      </w:r>
      <w:r>
        <w:rPr>
          <w:rFonts w:hint="eastAsia" w:ascii="宋体" w:hAnsi="宋体" w:eastAsia="宋体" w:cs="宋体"/>
          <w:sz w:val="28"/>
          <w:szCs w:val="28"/>
        </w:rPr>
        <w:t>：</w:t>
      </w:r>
    </w:p>
    <w:p w14:paraId="603BE671">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1、宁德职业技术学院总建筑面积约112522㎡。学校建筑包括教学楼、办公楼、宿舍楼、食堂等共23栋，</w:t>
      </w:r>
    </w:p>
    <w:p w14:paraId="07148009">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2、招标控制价：</w:t>
      </w:r>
      <w:r>
        <w:rPr>
          <w:rFonts w:hint="eastAsia" w:ascii="宋体" w:hAnsi="宋体" w:eastAsia="宋体" w:cs="宋体"/>
          <w:sz w:val="28"/>
          <w:szCs w:val="28"/>
          <w:u w:val="single"/>
        </w:rPr>
        <w:t xml:space="preserve"> ¥80000元</w:t>
      </w:r>
      <w:r>
        <w:rPr>
          <w:rFonts w:hint="eastAsia" w:ascii="宋体" w:hAnsi="宋体" w:eastAsia="宋体" w:cs="宋体"/>
          <w:sz w:val="28"/>
          <w:szCs w:val="28"/>
        </w:rPr>
        <w:t xml:space="preserve"> 大写：</w:t>
      </w:r>
      <w:r>
        <w:rPr>
          <w:rFonts w:hint="eastAsia" w:ascii="宋体" w:hAnsi="宋体" w:eastAsia="宋体" w:cs="宋体"/>
          <w:sz w:val="28"/>
          <w:szCs w:val="28"/>
          <w:u w:val="single"/>
        </w:rPr>
        <w:t>捌万元</w:t>
      </w:r>
      <w:r>
        <w:rPr>
          <w:rFonts w:hint="eastAsia" w:ascii="宋体" w:hAnsi="宋体" w:eastAsia="宋体" w:cs="宋体"/>
          <w:sz w:val="28"/>
          <w:szCs w:val="28"/>
        </w:rPr>
        <w:t>整为最高限价。</w:t>
      </w:r>
    </w:p>
    <w:p w14:paraId="2FE35927">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3、消防维护保养</w:t>
      </w:r>
      <w:r>
        <w:rPr>
          <w:rFonts w:hint="eastAsia" w:ascii="宋体" w:hAnsi="宋体" w:eastAsia="宋体" w:cs="宋体"/>
          <w:color w:val="000000"/>
          <w:sz w:val="28"/>
          <w:szCs w:val="28"/>
          <w:shd w:val="clear" w:color="auto" w:fill="FFFFFF"/>
          <w:lang w:bidi="ar"/>
        </w:rPr>
        <w:t>服务期限为1+1年，</w:t>
      </w:r>
      <w:r>
        <w:rPr>
          <w:rFonts w:hint="eastAsia" w:ascii="宋体" w:hAnsi="宋体" w:eastAsia="宋体" w:cs="宋体"/>
          <w:sz w:val="28"/>
          <w:szCs w:val="28"/>
        </w:rPr>
        <w:t>本次服务合同采用“1+1”模式，总年限最长可达二年。</w:t>
      </w:r>
    </w:p>
    <w:p w14:paraId="75BBCEB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第一年：为首个固定服务期，双方签署正式合同。</w:t>
      </w:r>
    </w:p>
    <w:p w14:paraId="79539CFD">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第二年：为可选续约期。</w:t>
      </w:r>
    </w:p>
    <w:p w14:paraId="71F06D93">
      <w:pPr>
        <w:autoSpaceDE/>
        <w:autoSpaceDN/>
        <w:spacing w:line="50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 续约机制：能否续约取决于年度绩效考核结果。在第一个服务年度结束前，甲方将组织考核，考核达标后方可续签下一年度的合同。若考核不达标，甲方有权终止合作。</w:t>
      </w:r>
    </w:p>
    <w:p w14:paraId="0E4C3113">
      <w:pPr>
        <w:autoSpaceDE/>
        <w:autoSpaceDN/>
        <w:spacing w:line="500" w:lineRule="exact"/>
        <w:ind w:firstLine="560" w:firstLineChars="200"/>
        <w:jc w:val="both"/>
        <w:rPr>
          <w:rFonts w:hint="eastAsia" w:ascii="宋体" w:hAnsi="宋体" w:eastAsia="宋体" w:cs="宋体"/>
          <w:sz w:val="28"/>
          <w:szCs w:val="28"/>
          <w:u w:val="single"/>
        </w:rPr>
      </w:pPr>
      <w:r>
        <w:rPr>
          <w:rFonts w:hint="eastAsia" w:ascii="宋体" w:hAnsi="宋体" w:eastAsia="宋体" w:cs="宋体"/>
          <w:sz w:val="28"/>
          <w:szCs w:val="28"/>
        </w:rPr>
        <w:t>4、评标办法：邀请比选，最低价中标。</w:t>
      </w:r>
    </w:p>
    <w:p w14:paraId="2220B8BB">
      <w:pPr>
        <w:widowControl/>
        <w:shd w:val="clear" w:color="auto" w:fill="FFFFFF"/>
        <w:spacing w:line="500" w:lineRule="exact"/>
        <w:ind w:firstLine="562"/>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二、服务商应具备的资格条件：</w:t>
      </w:r>
    </w:p>
    <w:p w14:paraId="512CD988">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（一）服务商应符合参加本次比选活动应当具备的条件：</w:t>
      </w:r>
    </w:p>
    <w:p w14:paraId="28D38E0A">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1、具有独立承担民事责任能力；</w:t>
      </w:r>
    </w:p>
    <w:p w14:paraId="0F6D9F98">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2、具有履行合同所必须的设备和专业技术能力；</w:t>
      </w:r>
    </w:p>
    <w:p w14:paraId="16CF94A3">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3、参加比选活动前三年内，在经营活动中没有重大违法记录，遵守相关的法律和法规。</w:t>
      </w:r>
    </w:p>
    <w:p w14:paraId="1443452C">
      <w:pPr>
        <w:pStyle w:val="6"/>
        <w:widowControl/>
        <w:shd w:val="clear" w:color="auto" w:fill="FFFFFF"/>
        <w:spacing w:before="0" w:beforeAutospacing="0" w:after="0" w:afterAutospacing="0" w:line="500" w:lineRule="exact"/>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被列入失信被执行人、重大税收违法案件当事人名单、采购严重违法失信行为记录名单且禁止进入政府市场的处罚还在有效期内的服务商不得参与本次采购活动。相关主体信用记录以“信用中国”网站（www.creditchina.gov.cn）网站查询结果为准。</w:t>
      </w:r>
    </w:p>
    <w:p w14:paraId="67C6EFAD">
      <w:pPr>
        <w:widowControl/>
        <w:shd w:val="clear" w:color="auto" w:fill="FFFFFF"/>
        <w:spacing w:line="500" w:lineRule="exact"/>
        <w:ind w:left="3115" w:leftChars="266" w:hanging="2530" w:hangingChars="900"/>
        <w:rPr>
          <w:rFonts w:hint="eastAsia" w:ascii="宋体" w:hAnsi="宋体" w:eastAsia="宋体" w:cs="宋体"/>
          <w:color w:val="000000"/>
          <w:sz w:val="28"/>
          <w:szCs w:val="28"/>
          <w:shd w:val="clear" w:color="auto" w:fill="FFFFFF"/>
          <w:lang w:bidi="ar"/>
        </w:rPr>
      </w:pPr>
      <w:r>
        <w:rPr>
          <w:rFonts w:hint="eastAsia" w:ascii="宋体" w:hAnsi="宋体" w:eastAsia="宋体" w:cs="宋体"/>
          <w:b/>
          <w:bCs/>
          <w:color w:val="000000"/>
          <w:sz w:val="28"/>
          <w:szCs w:val="28"/>
          <w:shd w:val="clear" w:color="auto" w:fill="FFFFFF"/>
          <w:lang w:bidi="ar"/>
        </w:rPr>
        <w:t>三、服务商报名地点:</w:t>
      </w:r>
      <w:r>
        <w:rPr>
          <w:rFonts w:hint="eastAsia" w:ascii="宋体" w:hAnsi="宋体" w:eastAsia="宋体" w:cs="宋体"/>
          <w:color w:val="000000"/>
          <w:sz w:val="28"/>
          <w:szCs w:val="28"/>
          <w:shd w:val="clear" w:color="auto" w:fill="FFFFFF"/>
          <w:lang w:bidi="ar"/>
        </w:rPr>
        <w:t>福安市宁德职业技术学院安全保卫处</w:t>
      </w:r>
    </w:p>
    <w:p w14:paraId="4B2309D3">
      <w:pPr>
        <w:widowControl/>
        <w:shd w:val="clear" w:color="auto" w:fill="FFFFFF"/>
        <w:spacing w:line="500" w:lineRule="exact"/>
        <w:ind w:left="3115" w:leftChars="266" w:hanging="2530" w:hangingChars="900"/>
        <w:rPr>
          <w:rFonts w:hint="eastAsia" w:ascii="宋体" w:hAnsi="宋体" w:eastAsia="宋体" w:cs="宋体"/>
          <w:b/>
          <w:bCs/>
          <w:color w:val="000000"/>
          <w:sz w:val="28"/>
          <w:szCs w:val="28"/>
          <w:shd w:val="clear" w:color="auto" w:fill="FFFFFF"/>
          <w:lang w:bidi="ar"/>
        </w:rPr>
      </w:pPr>
    </w:p>
    <w:p w14:paraId="6FB0592F">
      <w:pPr>
        <w:widowControl/>
        <w:shd w:val="clear" w:color="auto" w:fill="FFFFFF"/>
        <w:spacing w:line="500" w:lineRule="exact"/>
        <w:ind w:left="3115" w:leftChars="266" w:hanging="2530" w:hangingChars="900"/>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四、递交报价响应文件截止时间：2025</w:t>
      </w:r>
      <w:r>
        <w:rPr>
          <w:rFonts w:hint="eastAsia" w:ascii="宋体" w:hAnsi="宋体" w:eastAsia="宋体" w:cs="宋体"/>
          <w:color w:val="000000"/>
          <w:sz w:val="28"/>
          <w:szCs w:val="28"/>
          <w:shd w:val="clear" w:color="auto" w:fill="FFFFFF"/>
          <w:lang w:bidi="ar"/>
        </w:rPr>
        <w:t>年11月2</w:t>
      </w:r>
      <w:r>
        <w:rPr>
          <w:rFonts w:hint="eastAsia" w:ascii="宋体" w:hAnsi="宋体" w:eastAsia="宋体" w:cs="宋体"/>
          <w:color w:val="000000"/>
          <w:sz w:val="28"/>
          <w:szCs w:val="28"/>
          <w:shd w:val="clear" w:color="auto" w:fill="FFFFFF"/>
          <w:lang w:val="en-US" w:eastAsia="zh-CN" w:bidi="ar"/>
        </w:rPr>
        <w:t>7</w:t>
      </w:r>
      <w:r>
        <w:rPr>
          <w:rFonts w:hint="eastAsia" w:ascii="宋体" w:hAnsi="宋体" w:eastAsia="宋体" w:cs="宋体"/>
          <w:color w:val="000000"/>
          <w:sz w:val="28"/>
          <w:szCs w:val="28"/>
          <w:shd w:val="clear" w:color="auto" w:fill="FFFFFF"/>
          <w:lang w:bidi="ar"/>
        </w:rPr>
        <w:t xml:space="preserve">日17：30   </w:t>
      </w:r>
    </w:p>
    <w:p w14:paraId="656D6CEC">
      <w:pPr>
        <w:widowControl/>
        <w:shd w:val="clear" w:color="auto" w:fill="FFFFFF"/>
        <w:spacing w:line="500" w:lineRule="exact"/>
        <w:ind w:firstLine="562"/>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服务商应于当日截止时间前将报价响应文件送达比选地点，逾期送达或没有密封的报价响应文件不予接收。（文件接收时间：截止2025 年 11月 26日 1</w:t>
      </w:r>
      <w:r>
        <w:rPr>
          <w:rFonts w:hint="eastAsia" w:ascii="宋体" w:hAnsi="宋体" w:eastAsia="宋体" w:cs="宋体"/>
          <w:color w:val="000000"/>
          <w:sz w:val="28"/>
          <w:szCs w:val="28"/>
          <w:shd w:val="clear" w:color="auto" w:fill="FFFFFF"/>
          <w:lang w:val="en-US" w:eastAsia="zh-CN" w:bidi="ar"/>
        </w:rPr>
        <w:t>7</w:t>
      </w:r>
      <w:bookmarkStart w:id="2" w:name="_GoBack"/>
      <w:bookmarkEnd w:id="2"/>
      <w:r>
        <w:rPr>
          <w:rFonts w:hint="eastAsia" w:ascii="宋体" w:hAnsi="宋体" w:eastAsia="宋体" w:cs="宋体"/>
          <w:color w:val="000000"/>
          <w:sz w:val="28"/>
          <w:szCs w:val="28"/>
          <w:shd w:val="clear" w:color="auto" w:fill="FFFFFF"/>
          <w:lang w:bidi="ar"/>
        </w:rPr>
        <w:t>：30 ）。</w:t>
      </w:r>
    </w:p>
    <w:p w14:paraId="34DE8F66">
      <w:pPr>
        <w:widowControl/>
        <w:numPr>
          <w:ilvl w:val="0"/>
          <w:numId w:val="3"/>
        </w:numPr>
        <w:shd w:val="clear" w:color="auto" w:fill="FFFFFF"/>
        <w:spacing w:line="500" w:lineRule="exact"/>
        <w:ind w:firstLine="562"/>
        <w:rPr>
          <w:rFonts w:hint="eastAsia" w:ascii="宋体" w:hAnsi="宋体" w:eastAsia="宋体" w:cs="宋体"/>
          <w:color w:val="000000"/>
          <w:sz w:val="28"/>
          <w:szCs w:val="28"/>
          <w:shd w:val="clear" w:color="auto" w:fill="FFFFFF"/>
          <w:lang w:bidi="ar"/>
        </w:rPr>
      </w:pPr>
      <w:r>
        <w:rPr>
          <w:rFonts w:hint="eastAsia" w:ascii="宋体" w:hAnsi="宋体" w:eastAsia="宋体" w:cs="宋体"/>
          <w:b/>
          <w:bCs/>
          <w:color w:val="000000"/>
          <w:sz w:val="28"/>
          <w:szCs w:val="28"/>
          <w:shd w:val="clear" w:color="auto" w:fill="FFFFFF"/>
          <w:lang w:bidi="ar"/>
        </w:rPr>
        <w:t>递交报价响应文件地点：</w:t>
      </w:r>
      <w:r>
        <w:rPr>
          <w:rFonts w:hint="eastAsia" w:ascii="宋体" w:hAnsi="宋体" w:eastAsia="宋体" w:cs="宋体"/>
          <w:color w:val="000000"/>
          <w:sz w:val="28"/>
          <w:szCs w:val="28"/>
          <w:shd w:val="clear" w:color="auto" w:fill="FFFFFF"/>
          <w:lang w:bidi="ar"/>
        </w:rPr>
        <w:t>宁德职业技术学院安全保卫处。</w:t>
      </w:r>
    </w:p>
    <w:p w14:paraId="6B4F464E">
      <w:pPr>
        <w:widowControl/>
        <w:shd w:val="clear" w:color="auto" w:fill="FFFFFF"/>
        <w:spacing w:line="50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shd w:val="clear" w:color="auto" w:fill="FFFFFF"/>
          <w:lang w:bidi="ar"/>
        </w:rPr>
        <w:t>六、联系人及联系电话：</w:t>
      </w:r>
    </w:p>
    <w:p w14:paraId="5FBA8CD4">
      <w:pPr>
        <w:widowControl/>
        <w:shd w:val="clear" w:color="auto" w:fill="FFFFFF"/>
        <w:spacing w:line="500" w:lineRule="exact"/>
        <w:ind w:firstLine="560"/>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采 购 人：宁德职业技术学院</w:t>
      </w:r>
    </w:p>
    <w:p w14:paraId="07E37244">
      <w:pPr>
        <w:widowControl/>
        <w:shd w:val="clear" w:color="auto" w:fill="FFFFFF"/>
        <w:spacing w:line="500" w:lineRule="exact"/>
        <w:ind w:firstLine="560"/>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联 系 人：连美嘉</w:t>
      </w:r>
    </w:p>
    <w:p w14:paraId="7849CC81">
      <w:pPr>
        <w:widowControl/>
        <w:shd w:val="clear" w:color="auto" w:fill="FFFFFF"/>
        <w:spacing w:line="500" w:lineRule="exact"/>
        <w:ind w:firstLine="560"/>
        <w:rPr>
          <w:rFonts w:hint="eastAsia" w:ascii="宋体" w:hAnsi="宋体" w:eastAsia="宋体" w:cs="宋体"/>
          <w:color w:val="000000"/>
          <w:sz w:val="28"/>
          <w:szCs w:val="28"/>
          <w:shd w:val="clear" w:color="auto" w:fill="FFFFFF"/>
          <w:lang w:bidi="ar"/>
        </w:rPr>
      </w:pPr>
      <w:r>
        <w:rPr>
          <w:rFonts w:hint="eastAsia" w:ascii="宋体" w:hAnsi="宋体" w:eastAsia="宋体" w:cs="宋体"/>
          <w:color w:val="000000"/>
          <w:sz w:val="28"/>
          <w:szCs w:val="28"/>
          <w:shd w:val="clear" w:color="auto" w:fill="FFFFFF"/>
          <w:lang w:bidi="ar"/>
        </w:rPr>
        <w:t>联系电话：18859306516</w:t>
      </w:r>
    </w:p>
    <w:p w14:paraId="1C778976">
      <w:pPr>
        <w:widowControl/>
        <w:shd w:val="clear" w:color="auto" w:fill="FFFFFF"/>
        <w:spacing w:line="500" w:lineRule="exact"/>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bidi="ar"/>
        </w:rPr>
        <w:t>通讯地址：福安市福泰路232号宁德职业技术学院安全保卫处</w:t>
      </w:r>
    </w:p>
    <w:p w14:paraId="4CFE1B0E">
      <w:pPr>
        <w:widowControl/>
        <w:shd w:val="clear" w:color="auto" w:fill="FFFFFF"/>
        <w:spacing w:line="500" w:lineRule="exact"/>
        <w:ind w:left="4225" w:leftChars="266" w:hanging="3640" w:hangingChars="1300"/>
        <w:rPr>
          <w:rFonts w:hint="eastAsia" w:ascii="宋体" w:hAnsi="宋体" w:eastAsia="宋体" w:cs="宋体"/>
          <w:color w:val="000000"/>
          <w:sz w:val="28"/>
          <w:szCs w:val="28"/>
        </w:rPr>
      </w:pPr>
    </w:p>
    <w:p w14:paraId="111ACDB4">
      <w:pPr>
        <w:pStyle w:val="6"/>
        <w:widowControl/>
        <w:shd w:val="clear" w:color="auto" w:fill="FFFFFF"/>
        <w:spacing w:before="0" w:beforeAutospacing="0" w:after="0" w:afterAutospacing="0" w:line="500" w:lineRule="exact"/>
        <w:ind w:firstLine="560"/>
        <w:rPr>
          <w:rFonts w:hint="eastAsia" w:ascii="宋体" w:hAnsi="宋体" w:eastAsia="宋体" w:cs="宋体"/>
          <w:color w:val="000000"/>
          <w:sz w:val="28"/>
          <w:szCs w:val="28"/>
        </w:rPr>
      </w:pPr>
    </w:p>
    <w:p w14:paraId="357B202A">
      <w:pPr>
        <w:autoSpaceDE/>
        <w:autoSpaceDN/>
        <w:spacing w:line="500" w:lineRule="exact"/>
        <w:ind w:firstLine="5600" w:firstLineChars="2000"/>
        <w:rPr>
          <w:rFonts w:hint="eastAsia" w:ascii="宋体" w:hAnsi="宋体" w:eastAsia="宋体" w:cs="宋体"/>
          <w:sz w:val="28"/>
          <w:szCs w:val="28"/>
        </w:rPr>
      </w:pPr>
    </w:p>
    <w:p w14:paraId="16C8BD6A">
      <w:pPr>
        <w:spacing w:line="500" w:lineRule="exact"/>
        <w:jc w:val="center"/>
        <w:rPr>
          <w:rFonts w:hint="eastAsia" w:ascii="宋体" w:hAnsi="宋体" w:eastAsia="宋体" w:cs="宋体"/>
          <w:b/>
          <w:bCs/>
          <w:sz w:val="28"/>
          <w:szCs w:val="28"/>
        </w:rPr>
      </w:pPr>
    </w:p>
    <w:p w14:paraId="27A2E595">
      <w:pPr>
        <w:spacing w:line="500" w:lineRule="exact"/>
        <w:jc w:val="center"/>
        <w:rPr>
          <w:rFonts w:hint="eastAsia" w:ascii="宋体" w:hAnsi="宋体" w:eastAsia="宋体" w:cs="宋体"/>
          <w:b/>
          <w:bCs/>
          <w:sz w:val="28"/>
          <w:szCs w:val="28"/>
        </w:rPr>
      </w:pPr>
    </w:p>
    <w:p w14:paraId="36338484">
      <w:pPr>
        <w:spacing w:line="500" w:lineRule="exact"/>
        <w:jc w:val="center"/>
        <w:rPr>
          <w:rFonts w:hint="eastAsia" w:ascii="宋体" w:hAnsi="宋体" w:eastAsia="宋体" w:cs="宋体"/>
          <w:b/>
          <w:bCs/>
          <w:sz w:val="28"/>
          <w:szCs w:val="28"/>
        </w:rPr>
      </w:pPr>
    </w:p>
    <w:p w14:paraId="0F097414">
      <w:pPr>
        <w:spacing w:line="500" w:lineRule="exact"/>
        <w:jc w:val="center"/>
        <w:rPr>
          <w:rFonts w:hint="eastAsia" w:ascii="宋体" w:hAnsi="宋体" w:eastAsia="宋体" w:cs="宋体"/>
          <w:b/>
          <w:bCs/>
          <w:sz w:val="28"/>
          <w:szCs w:val="28"/>
        </w:rPr>
      </w:pPr>
    </w:p>
    <w:p w14:paraId="0575E1A3">
      <w:pPr>
        <w:spacing w:line="500" w:lineRule="exact"/>
        <w:jc w:val="center"/>
        <w:rPr>
          <w:rFonts w:hint="eastAsia" w:ascii="宋体" w:hAnsi="宋体" w:eastAsia="宋体" w:cs="宋体"/>
          <w:b/>
          <w:bCs/>
          <w:sz w:val="28"/>
          <w:szCs w:val="28"/>
        </w:rPr>
      </w:pPr>
    </w:p>
    <w:p w14:paraId="4D2D5AFA">
      <w:pPr>
        <w:spacing w:line="500" w:lineRule="exact"/>
        <w:jc w:val="center"/>
        <w:rPr>
          <w:rFonts w:hint="eastAsia" w:ascii="宋体" w:hAnsi="宋体" w:eastAsia="宋体" w:cs="宋体"/>
          <w:b/>
          <w:bCs/>
          <w:sz w:val="28"/>
          <w:szCs w:val="28"/>
        </w:rPr>
      </w:pPr>
    </w:p>
    <w:p w14:paraId="15CDED55">
      <w:pPr>
        <w:spacing w:line="500" w:lineRule="exact"/>
        <w:jc w:val="center"/>
        <w:rPr>
          <w:rFonts w:hint="eastAsia" w:ascii="宋体" w:hAnsi="宋体" w:eastAsia="宋体" w:cs="宋体"/>
          <w:b/>
          <w:bCs/>
          <w:sz w:val="28"/>
          <w:szCs w:val="28"/>
        </w:rPr>
      </w:pPr>
    </w:p>
    <w:p w14:paraId="09CA5D40">
      <w:pPr>
        <w:spacing w:line="500" w:lineRule="exact"/>
        <w:jc w:val="center"/>
        <w:rPr>
          <w:rFonts w:hint="eastAsia" w:ascii="宋体" w:hAnsi="宋体" w:eastAsia="宋体" w:cs="宋体"/>
          <w:b/>
          <w:bCs/>
          <w:sz w:val="28"/>
          <w:szCs w:val="28"/>
        </w:rPr>
      </w:pPr>
    </w:p>
    <w:p w14:paraId="0DEB2AA2">
      <w:pPr>
        <w:spacing w:line="500" w:lineRule="exact"/>
        <w:jc w:val="center"/>
        <w:rPr>
          <w:rFonts w:hint="eastAsia" w:ascii="宋体" w:hAnsi="宋体" w:eastAsia="宋体" w:cs="宋体"/>
          <w:b/>
          <w:bCs/>
          <w:sz w:val="28"/>
          <w:szCs w:val="28"/>
        </w:rPr>
      </w:pPr>
    </w:p>
    <w:p w14:paraId="5AC5DDE2">
      <w:pPr>
        <w:spacing w:line="500" w:lineRule="exact"/>
        <w:jc w:val="center"/>
        <w:rPr>
          <w:rFonts w:hint="eastAsia" w:ascii="宋体" w:hAnsi="宋体" w:eastAsia="宋体" w:cs="宋体"/>
          <w:b/>
          <w:bCs/>
          <w:sz w:val="28"/>
          <w:szCs w:val="28"/>
        </w:rPr>
      </w:pPr>
    </w:p>
    <w:p w14:paraId="5416D3A7">
      <w:pPr>
        <w:spacing w:line="500" w:lineRule="exact"/>
        <w:jc w:val="center"/>
        <w:rPr>
          <w:rFonts w:hint="eastAsia" w:asciiTheme="minorEastAsia" w:hAnsiTheme="minorEastAsia" w:eastAsiaTheme="minorEastAsia" w:cstheme="minorEastAsia"/>
          <w:b/>
          <w:bCs/>
          <w:sz w:val="28"/>
          <w:szCs w:val="28"/>
        </w:rPr>
      </w:pPr>
    </w:p>
    <w:p w14:paraId="072A2942">
      <w:pPr>
        <w:spacing w:line="500" w:lineRule="exact"/>
        <w:jc w:val="center"/>
        <w:rPr>
          <w:rFonts w:hint="eastAsia" w:asciiTheme="minorEastAsia" w:hAnsiTheme="minorEastAsia" w:eastAsiaTheme="minorEastAsia" w:cstheme="minorEastAsia"/>
          <w:b/>
          <w:bCs/>
          <w:sz w:val="28"/>
          <w:szCs w:val="28"/>
        </w:rPr>
      </w:pPr>
    </w:p>
    <w:p w14:paraId="0E827647">
      <w:pPr>
        <w:spacing w:line="500" w:lineRule="exact"/>
        <w:jc w:val="center"/>
        <w:rPr>
          <w:rFonts w:hint="eastAsia" w:asciiTheme="minorEastAsia" w:hAnsiTheme="minorEastAsia" w:eastAsiaTheme="minorEastAsia" w:cstheme="minorEastAsia"/>
          <w:b/>
          <w:bCs/>
          <w:sz w:val="28"/>
          <w:szCs w:val="28"/>
        </w:rPr>
      </w:pPr>
    </w:p>
    <w:p w14:paraId="656AFE28">
      <w:pPr>
        <w:spacing w:line="500" w:lineRule="exact"/>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比选方案</w:t>
      </w:r>
    </w:p>
    <w:p w14:paraId="2266415B">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宁德职业技术学院总建筑面积约112522㎡。学校建筑包括教学楼、办公楼、宿舍楼、食堂等共23栋消防设施需维护保养和不定期叫修服务，采用邀请比选方式选定服务商，现将有关事宜公告如下：</w:t>
      </w:r>
    </w:p>
    <w:p w14:paraId="01A9E30E">
      <w:pPr>
        <w:spacing w:line="500" w:lineRule="exact"/>
        <w:ind w:firstLine="63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一、比选项目概况</w:t>
      </w:r>
    </w:p>
    <w:p w14:paraId="70070597">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1.业主方名称：</w:t>
      </w:r>
      <w:r>
        <w:rPr>
          <w:rFonts w:hint="eastAsia" w:asciiTheme="minorEastAsia" w:hAnsiTheme="minorEastAsia" w:eastAsiaTheme="minorEastAsia" w:cstheme="minorEastAsia"/>
          <w:sz w:val="28"/>
          <w:szCs w:val="28"/>
          <w:u w:val="single"/>
        </w:rPr>
        <w:t>宁德职业技术学院      ；</w:t>
      </w:r>
    </w:p>
    <w:p w14:paraId="161F640C">
      <w:pPr>
        <w:spacing w:line="500" w:lineRule="exact"/>
        <w:ind w:left="2629" w:leftChars="304" w:hanging="1960" w:hangingChars="7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2.项目名称：</w:t>
      </w:r>
      <w:r>
        <w:rPr>
          <w:rFonts w:hint="eastAsia" w:asciiTheme="minorEastAsia" w:hAnsiTheme="minorEastAsia" w:eastAsiaTheme="minorEastAsia" w:cstheme="minorEastAsia"/>
          <w:sz w:val="28"/>
          <w:szCs w:val="28"/>
          <w:u w:val="single"/>
        </w:rPr>
        <w:t>宁德职业技术学院消防维保；</w:t>
      </w:r>
    </w:p>
    <w:p w14:paraId="1C861D1D">
      <w:pPr>
        <w:spacing w:line="500" w:lineRule="exact"/>
        <w:ind w:left="2629" w:leftChars="304" w:hanging="1960" w:hangingChars="70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3.项目地址：</w:t>
      </w:r>
      <w:r>
        <w:rPr>
          <w:rFonts w:hint="eastAsia" w:asciiTheme="minorEastAsia" w:hAnsiTheme="minorEastAsia" w:eastAsiaTheme="minorEastAsia" w:cstheme="minorEastAsia"/>
          <w:sz w:val="28"/>
          <w:szCs w:val="28"/>
          <w:u w:val="single"/>
        </w:rPr>
        <w:t>福安市宁德职业技术学院内；</w:t>
      </w:r>
    </w:p>
    <w:p w14:paraId="3A7539B7">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4.服务项目：教学楼、办公楼、宿舍楼、食堂等共23栋消防维护保养服务；</w:t>
      </w:r>
    </w:p>
    <w:p w14:paraId="53619B13">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5.服务内容：教学楼、办公楼、宿舍楼、食堂等共23栋消防维护保养服务，服务期限为1+1年；</w:t>
      </w:r>
    </w:p>
    <w:p w14:paraId="5AEB11E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6.付款方式：按季度验收，验收合格后中标方开具正规含税发票，采购方通过银行转账方式支付合同款的25%。</w:t>
      </w:r>
    </w:p>
    <w:p w14:paraId="4B9013B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7.中标方与采购方签订合同后7个工作日内，需向采购方指定账户缴纳合同总额5％的履约保证金，合同期满后无息退还。</w:t>
      </w:r>
    </w:p>
    <w:p w14:paraId="1A3DFFAE">
      <w:pPr>
        <w:spacing w:line="50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二、参选单位资格要求</w:t>
      </w:r>
    </w:p>
    <w:p w14:paraId="527878B8">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1、须具有经合格有效的企业法人营业执照；</w:t>
      </w:r>
    </w:p>
    <w:p w14:paraId="11D0AE09">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2、须具有独立法人资格和相应经营范围；</w:t>
      </w:r>
    </w:p>
    <w:p w14:paraId="44721EC1">
      <w:pPr>
        <w:spacing w:line="500" w:lineRule="exact"/>
        <w:ind w:firstLine="63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3、具备履行合同所必需的设备和专业技术能力；</w:t>
      </w:r>
    </w:p>
    <w:p w14:paraId="647E7821">
      <w:pPr>
        <w:pStyle w:val="6"/>
        <w:widowControl/>
        <w:shd w:val="clear" w:color="auto" w:fill="FFFFFF"/>
        <w:spacing w:before="0" w:beforeAutospacing="0" w:after="0" w:afterAutospacing="0" w:line="50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被列入失信被执行人、重大税收违法案件当事人名单、采购严重违法失信行为记录名单且禁止进入政府市场的处罚还在有效期内的服务商不得参与本次采购活动。相关主体信用记录以“信用中国”网站（www.creditchina.gov.cn）网站查询结果为准。</w:t>
      </w:r>
    </w:p>
    <w:p w14:paraId="714121C5">
      <w:pPr>
        <w:spacing w:line="500" w:lineRule="exact"/>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三、参选文件编制</w:t>
      </w:r>
    </w:p>
    <w:p w14:paraId="5D103494">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1.法定代表人资格证明书</w:t>
      </w:r>
    </w:p>
    <w:p w14:paraId="581BD592">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2.法人代表人授权委托书</w:t>
      </w:r>
    </w:p>
    <w:p w14:paraId="55F090DD">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3.信誉承诺</w:t>
      </w:r>
    </w:p>
    <w:p w14:paraId="4AC212E5">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4.报价函承诺书</w:t>
      </w:r>
    </w:p>
    <w:p w14:paraId="16D4ED85">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5.具备履行合同所必需设备和专业技术能力声明函</w:t>
      </w:r>
    </w:p>
    <w:p w14:paraId="799F13CC">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6.合格有效的企业法人营业执照副本复印件</w:t>
      </w:r>
    </w:p>
    <w:p w14:paraId="4FF133F9">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7.其他材料</w:t>
      </w:r>
    </w:p>
    <w:p w14:paraId="72F63C80">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8.消防维保考核表</w:t>
      </w:r>
    </w:p>
    <w:p w14:paraId="5F231C59">
      <w:pPr>
        <w:spacing w:line="500" w:lineRule="exact"/>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以上材料应装订成册，所涉及的复印件均需加盖单位公章。</w:t>
      </w:r>
    </w:p>
    <w:p w14:paraId="545E9D75">
      <w:pPr>
        <w:spacing w:line="500" w:lineRule="exact"/>
        <w:ind w:left="63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四、确定中选单位</w:t>
      </w:r>
    </w:p>
    <w:p w14:paraId="1ADB8047">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比选文件评审合格且下浮率报价最高的参选单位为第一候选人，依次类推选择第二、第三中标候选人。当出现二个或二个以上参选单位的投标报价相同时，由比选人随机抽取。</w:t>
      </w:r>
      <w:bookmarkStart w:id="1" w:name="_bookmark2"/>
      <w:bookmarkEnd w:id="1"/>
    </w:p>
    <w:p w14:paraId="1728DDD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五、消防维保工作要求和内容</w:t>
      </w:r>
    </w:p>
    <w:p w14:paraId="0D9603A7">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1.自动报警系统</w:t>
      </w:r>
    </w:p>
    <w:p w14:paraId="6228253B">
      <w:pPr>
        <w:pStyle w:val="16"/>
        <w:spacing w:line="500" w:lineRule="exact"/>
        <w:ind w:left="588" w:leftChars="209" w:hanging="128" w:hangingChars="4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1.1维护内容：</w:t>
      </w:r>
    </w:p>
    <w:p w14:paraId="0CE7CEF5">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各信号线路及线路保护管道维护。</w:t>
      </w:r>
    </w:p>
    <w:p w14:paraId="11BC5B50">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控制器的基本功能试验，包括控制器的开机、液晶和数码管的显示、主备电的工作、显示和声音、打印、时钟、记录等。</w:t>
      </w:r>
    </w:p>
    <w:p w14:paraId="2A83E813">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查控制器的点名、报火警、报故障功能。</w:t>
      </w:r>
    </w:p>
    <w:p w14:paraId="32260593">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探测器的报警试验，包括感烟、感温等所有类型探测器的试验，试验工具符合检测要求。</w:t>
      </w:r>
    </w:p>
    <w:p w14:paraId="7DCD65F5">
      <w:pPr>
        <w:pStyle w:val="16"/>
        <w:numPr>
          <w:ilvl w:val="0"/>
          <w:numId w:val="4"/>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手报报警按钮的撤警试验</w:t>
      </w:r>
    </w:p>
    <w:p w14:paraId="759779AA">
      <w:pPr>
        <w:pStyle w:val="16"/>
        <w:spacing w:line="500" w:lineRule="exact"/>
        <w:ind w:left="440" w:leftChars="20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1.2工作计划：每月检测一次。</w:t>
      </w:r>
    </w:p>
    <w:p w14:paraId="66777CC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2.自动喷淋系统</w:t>
      </w:r>
    </w:p>
    <w:p w14:paraId="339394C0">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2.1维护内容：</w:t>
      </w:r>
    </w:p>
    <w:p w14:paraId="4312EAB0">
      <w:pPr>
        <w:pStyle w:val="16"/>
        <w:numPr>
          <w:ilvl w:val="0"/>
          <w:numId w:val="5"/>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外观检查。检测消防泵房工作环境及喷淋泵、稳压设备、电源控制柜、湿式报警阀、喷头、水泵接合器、储水设施是否处于完好状态。</w:t>
      </w:r>
    </w:p>
    <w:p w14:paraId="353BE7A4">
      <w:pPr>
        <w:pStyle w:val="16"/>
        <w:numPr>
          <w:ilvl w:val="0"/>
          <w:numId w:val="5"/>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功能试验。在控制柜及消防控制中心启动喷淋泵，同时试验主备泵的切换功能：利用报警阀的放水试验阀试验压力开关、水力警铃的工作情况；利用末端放水装置放水，验证水流指示器、湿式报警阀功能，自动启泵功能。</w:t>
      </w:r>
    </w:p>
    <w:p w14:paraId="7CE4EE2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2.2工作计划：每月测试一次。</w:t>
      </w:r>
    </w:p>
    <w:p w14:paraId="6F9082D8">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3.消火栓系统</w:t>
      </w:r>
    </w:p>
    <w:p w14:paraId="363EA0EC">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3.1维护内容：</w:t>
      </w:r>
    </w:p>
    <w:p w14:paraId="0B243363">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外观检测。检测室内外消火栓给水管道、消防水池／水箱／稳压装置、消火栓水枪及水带、消火栓按钮、消防水泵及各类管网阀门等是否正常。</w:t>
      </w:r>
    </w:p>
    <w:p w14:paraId="0BFAB730">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消防泵启动功能试验。在泵房控制柜、消防中心、现场消火栓按钮上启动消防泵，查看消防泵启动情况。</w:t>
      </w:r>
    </w:p>
    <w:p w14:paraId="00077A77">
      <w:pPr>
        <w:pStyle w:val="16"/>
        <w:numPr>
          <w:ilvl w:val="0"/>
          <w:numId w:val="6"/>
        </w:numPr>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模拟实际喷水试验。接好水枪，做好准备工作，开始试验，检查水的压力及查看是否有漏水情况。</w:t>
      </w:r>
    </w:p>
    <w:p w14:paraId="4D731D5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3.2工作计划：每季度一次</w:t>
      </w:r>
    </w:p>
    <w:p w14:paraId="507D7DC5">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4.防排烟系统</w:t>
      </w:r>
    </w:p>
    <w:p w14:paraId="5EFE4774">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4.1维护内容：</w:t>
      </w:r>
    </w:p>
    <w:p w14:paraId="6680281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（1）排烟阀、送风阀及手动的启动。</w:t>
      </w:r>
    </w:p>
    <w:p w14:paraId="0BAA9641">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（2）排烟风机、送风机的启动和停动。</w:t>
      </w:r>
    </w:p>
    <w:p w14:paraId="4B8F489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（3）空调、新风机的停动。</w:t>
      </w:r>
    </w:p>
    <w:p w14:paraId="33E1269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4.2工作计划：每月检测一次．</w:t>
      </w:r>
    </w:p>
    <w:p w14:paraId="30597B39">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5.应急照明及疏散系统</w:t>
      </w:r>
    </w:p>
    <w:p w14:paraId="03801A40">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5.1维护内容：</w:t>
      </w:r>
    </w:p>
    <w:p w14:paraId="67C42086">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检查各种消防应急照明，消防应急标志及疏散标志牌的功能。功能包括正常指示、切换功能。</w:t>
      </w:r>
    </w:p>
    <w:p w14:paraId="67BB7106">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5.2工作计划：每月检测一次</w:t>
      </w:r>
    </w:p>
    <w:p w14:paraId="2C5F2ACC">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6.消防电源及配电装置</w:t>
      </w:r>
    </w:p>
    <w:p w14:paraId="2DF21647">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6.1维护内容：</w:t>
      </w:r>
    </w:p>
    <w:p w14:paraId="1104F75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（1）非消防电源的切换及消防电源的投入。</w:t>
      </w:r>
    </w:p>
    <w:p w14:paraId="3B3C1D41">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（2）在控制中心手动试验。</w:t>
      </w:r>
    </w:p>
    <w:p w14:paraId="6B897B1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6.2工作计划：每季度一次。</w:t>
      </w:r>
    </w:p>
    <w:p w14:paraId="3648BA7C">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7.消防广播系统</w:t>
      </w:r>
    </w:p>
    <w:p w14:paraId="2CB120AE">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7.1维护内容：</w:t>
      </w:r>
    </w:p>
    <w:p w14:paraId="2B50D505">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（1）检查紧急广播的放音及切换功能。放音包括通过话筒、磁带等方式放音，检查声音的大小。切换功能指每个区是否都能正常切换。</w:t>
      </w:r>
    </w:p>
    <w:p w14:paraId="01398395">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（2）检查消防电话的通话功能。包括固定电话机电话插孔的检查。</w:t>
      </w:r>
    </w:p>
    <w:p w14:paraId="6F2FB60C">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7.2工作计划：每月测试一次。</w:t>
      </w:r>
    </w:p>
    <w:p w14:paraId="70DB76FE">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8.灭火器维护</w:t>
      </w:r>
    </w:p>
    <w:p w14:paraId="6F7DB35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8.1维护内容：检查灭火器有效期、表盘、指针，灭火器外观、型号等；试验灭火器的喷射功能是否正常。</w:t>
      </w:r>
    </w:p>
    <w:p w14:paraId="7720873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8.2工作计划：每月测试一次。</w:t>
      </w:r>
    </w:p>
    <w:p w14:paraId="0767C65A">
      <w:pPr>
        <w:pStyle w:val="16"/>
        <w:spacing w:line="500" w:lineRule="exact"/>
        <w:ind w:left="565" w:leftChars="198" w:hanging="129" w:hangingChars="4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六、其他要求</w:t>
      </w:r>
    </w:p>
    <w:p w14:paraId="4210C864">
      <w:pPr>
        <w:pStyle w:val="16"/>
        <w:spacing w:line="500" w:lineRule="exact"/>
        <w:ind w:left="0" w:firstLine="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sz w:val="28"/>
          <w:szCs w:val="28"/>
        </w:rPr>
        <w:t>1.中标方须派至少两人熟悉消防安全的持证工作人员，负责校内消防设施、设备的维护、管理、检查、整理资料等工作。参与人员必须具有作业人员上岗证书及消防员证，人证合一，锁证锁人，设专人进行现场监管。拆卸、搬迁和安装过程中，不得损坏其它公共设施及个人财产。</w:t>
      </w:r>
    </w:p>
    <w:p w14:paraId="6988827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在维保过程中，必须坚持“以修为主”的原则，确需更换零件时，中标方应及时写出书面说明，由双方共同论证确定，待学校认可后方可实施。100元以上由采购人甲方确认后负责购置，100元以下由中标方（乙方）负责购置。</w:t>
      </w:r>
    </w:p>
    <w:p w14:paraId="168F965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3.中标方需认真做好消防设施资料的建档工作，做好维保日志，建立健全各类消防维保管理台帐，并及时予以更新，按消防部门要求及时上报相关材料，有义务协助校方做好规范的消防档案建设。</w:t>
      </w:r>
    </w:p>
    <w:p w14:paraId="025B2938">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4.中标方有责任和义务配合学校及上级主管部门组织的消防检查、测试、上报材料等工作。</w:t>
      </w:r>
    </w:p>
    <w:p w14:paraId="06FDE4A2">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5.中标方应认真执行和全面落实国家建筑消防安全法律法规，认真服从消防管理部门的技术指导，并承担相应的消防责任。</w:t>
      </w:r>
    </w:p>
    <w:p w14:paraId="23084F2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6.中标方需每月把工作情况书面报表向采购方（甲方）汇报，出具维护报告书。</w:t>
      </w:r>
    </w:p>
    <w:p w14:paraId="779406AD">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七、安全责任</w:t>
      </w:r>
    </w:p>
    <w:p w14:paraId="44862B53">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中标方应对派驻校方的工作人员进行维保安全生产教育，并自带专业工具，严格规范操作，做好安全防范措施，做到安全文明施工。如因中标方的维保人员违规操作，造成采购方消防设施设备损坏，中标方必须照价赔偿并负责处理好善后工作，直至甲方的消防设施设备正常运转。</w:t>
      </w:r>
    </w:p>
    <w:p w14:paraId="2940E58B">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标方对参与本项目的所有员工的人身安全负全责。如在维保过程中，凡因中标方责任造成的任何事故，均由中标方承担全部责任，赔偿一切经济损失，与学校无关。中标方要做到合法用工，工作人员相关证件齐全，如中标方违法用工造成的损失由中标方承担。</w:t>
      </w:r>
    </w:p>
    <w:p w14:paraId="63B17FEA">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3.在合同期间中标方对学校的消防安全设备应负全部责任。</w:t>
      </w:r>
    </w:p>
    <w:p w14:paraId="5BBFF3F1">
      <w:pPr>
        <w:pStyle w:val="16"/>
        <w:spacing w:line="500" w:lineRule="exact"/>
        <w:ind w:left="0" w:firstLine="562"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八、违约责任</w:t>
      </w:r>
    </w:p>
    <w:p w14:paraId="371FDDED">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1.甲乙双方不得无故终止合同。</w:t>
      </w:r>
    </w:p>
    <w:p w14:paraId="30776DAE">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若因乙方未按维保要求进行服务造成消防设施设备故障，并进而导致消防事故或隐患未第一时间消除的，甲方因此造成的人身伤亡或财产损失，由乙方承担赔偿责任。若甲方被任何第三方（包含甲方师生在内）追索并承担责任的，甲方有权向乙方追偿。</w:t>
      </w:r>
    </w:p>
    <w:p w14:paraId="5E495012">
      <w:pPr>
        <w:pStyle w:val="16"/>
        <w:spacing w:line="500" w:lineRule="exact"/>
        <w:ind w:left="0"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3.若乙方连续三次未按招标要求及时响应或维护不到位导致设施设备无法正常运行，甲方有权单方无责解除合同。合同期内给甲方带来的损失由乙方承担。</w:t>
      </w:r>
    </w:p>
    <w:p w14:paraId="5D62BBB6">
      <w:pPr>
        <w:pStyle w:val="16"/>
        <w:spacing w:line="500" w:lineRule="exact"/>
        <w:ind w:left="0"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4.若甲方季度验收不合格的，甲方有权拒付当季度的维保检测费，如果连续两个季度验收不合格或合同期内累计三个季度验收不合格，甲方有权解除合同，并没收乙方履约保证金。</w:t>
      </w:r>
    </w:p>
    <w:p w14:paraId="6A5F1471">
      <w:pPr>
        <w:pStyle w:val="16"/>
        <w:spacing w:line="500" w:lineRule="exact"/>
        <w:ind w:left="0"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九</w:t>
      </w:r>
      <w:r>
        <w:rPr>
          <w:rFonts w:hint="eastAsia" w:asciiTheme="minorEastAsia" w:hAnsiTheme="minorEastAsia" w:eastAsiaTheme="minorEastAsia" w:cstheme="minorEastAsia"/>
          <w:b/>
          <w:bCs/>
          <w:sz w:val="28"/>
          <w:szCs w:val="28"/>
        </w:rPr>
        <w:t>、争议解决</w:t>
      </w:r>
    </w:p>
    <w:p w14:paraId="7F7645DA">
      <w:pPr>
        <w:pStyle w:val="16"/>
        <w:spacing w:line="500" w:lineRule="exact"/>
        <w:ind w:left="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若因执行合同发生争议，或因合同发生的其他争议，双方应当友好协商解决，协商不成的，均可向福安市人民法院起诉。</w:t>
      </w:r>
    </w:p>
    <w:p w14:paraId="2E24DF93">
      <w:pPr>
        <w:pStyle w:val="16"/>
        <w:ind w:left="0" w:firstLine="560" w:firstLineChars="200"/>
        <w:rPr>
          <w:rFonts w:hint="eastAsia" w:asciiTheme="minorEastAsia" w:hAnsiTheme="minorEastAsia" w:eastAsiaTheme="minorEastAsia" w:cstheme="minorEastAsia"/>
          <w:sz w:val="28"/>
          <w:szCs w:val="28"/>
        </w:rPr>
      </w:pPr>
    </w:p>
    <w:p w14:paraId="39B98E09">
      <w:pPr>
        <w:pStyle w:val="16"/>
        <w:ind w:left="0" w:leftChars="0" w:firstLine="0" w:firstLineChars="0"/>
        <w:rPr>
          <w:rFonts w:hint="eastAsia"/>
          <w:sz w:val="32"/>
          <w:szCs w:val="32"/>
        </w:rPr>
      </w:pPr>
    </w:p>
    <w:p w14:paraId="3D0CAD69">
      <w:pPr>
        <w:pStyle w:val="16"/>
        <w:ind w:left="0" w:firstLine="0"/>
        <w:rPr>
          <w:rFonts w:hint="eastAsia"/>
          <w:sz w:val="32"/>
          <w:szCs w:val="32"/>
        </w:rPr>
      </w:pPr>
    </w:p>
    <w:p w14:paraId="7C6124A4">
      <w:pPr>
        <w:pStyle w:val="16"/>
        <w:ind w:left="583" w:leftChars="198" w:hanging="147" w:hangingChars="46"/>
        <w:rPr>
          <w:rFonts w:hint="eastAsia" w:asciiTheme="minorEastAsia" w:hAnsiTheme="minorEastAsia" w:eastAsiaTheme="minorEastAsia" w:cstheme="minorEastAsia"/>
          <w:sz w:val="32"/>
          <w:szCs w:val="32"/>
        </w:rPr>
      </w:pPr>
    </w:p>
    <w:p w14:paraId="6E7113A8">
      <w:pPr>
        <w:pStyle w:val="2"/>
        <w:numPr>
          <w:ilvl w:val="0"/>
          <w:numId w:val="0"/>
        </w:numPr>
        <w:rPr>
          <w:rFonts w:hint="eastAsia"/>
        </w:rPr>
      </w:pPr>
    </w:p>
    <w:sectPr>
      <w:footerReference r:id="rId5" w:type="default"/>
      <w:footerReference r:id="rId6"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5CFC0">
    <w:pPr>
      <w:pStyle w:val="3"/>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598805" cy="224790"/>
              <wp:effectExtent l="0" t="0" r="0" b="0"/>
              <wp:wrapNone/>
              <wp:docPr id="5" name="Text Box 7"/>
              <wp:cNvGraphicFramePr/>
              <a:graphic xmlns:a="http://schemas.openxmlformats.org/drawingml/2006/main">
                <a:graphicData uri="http://schemas.microsoft.com/office/word/2010/wordprocessingShape">
                  <wps:wsp>
                    <wps:cNvSpPr txBox="1">
                      <a:spLocks noChangeArrowheads="1"/>
                    </wps:cNvSpPr>
                    <wps:spPr bwMode="auto">
                      <a:xfrm>
                        <a:off x="0" y="0"/>
                        <a:ext cx="598805" cy="224790"/>
                      </a:xfrm>
                      <a:prstGeom prst="rect">
                        <a:avLst/>
                      </a:prstGeom>
                      <a:noFill/>
                      <a:ln>
                        <a:noFill/>
                      </a:ln>
                    </wps:spPr>
                    <wps:txbx>
                      <w:txbxContent>
                        <w:p w14:paraId="7345B982">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445.75pt;margin-top:779.15pt;height:17.7pt;width:47.15pt;mso-position-horizontal-relative:page;mso-position-vertical-relative:page;z-index:-251657216;mso-width-relative:page;mso-height-relative:page;" filled="f" stroked="f" coordsize="21600,21600" o:gfxdata="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86MF2wAAAA0BAAAPAAAAAAAAAAEAIAAAACIAAABkcnMvZG93&#10;bnJldi54bWxQSwECFAAUAAAACACHTuJAZDMO9P0BAAADBAAADgAAAAAAAAABACAAAAAqAQAAZHJz&#10;L2Uyb0RvYy54bWxQSwUGAAAAAAYABgBZAQAAmQUAAAAA&#10;">
              <v:fill on="f" focussize="0,0"/>
              <v:stroke on="f"/>
              <v:imagedata o:title=""/>
              <o:lock v:ext="edit" aspectratio="f"/>
              <v:textbox inset="0mm,0mm,0mm,0mm">
                <w:txbxContent>
                  <w:p w14:paraId="7345B982">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5</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48EE">
    <w:pPr>
      <w:pStyle w:val="3"/>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597535" cy="224790"/>
              <wp:effectExtent l="0" t="0" r="0" b="0"/>
              <wp:wrapNone/>
              <wp:docPr id="6"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7535" cy="224790"/>
                      </a:xfrm>
                      <a:prstGeom prst="rect">
                        <a:avLst/>
                      </a:prstGeom>
                      <a:noFill/>
                      <a:ln>
                        <a:noFill/>
                      </a:ln>
                    </wps:spPr>
                    <wps:txbx>
                      <w:txbxContent>
                        <w:p w14:paraId="7181FE34">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103.05pt;margin-top:773.6pt;height:17.7pt;width:47.05pt;mso-position-horizontal-relative:page;mso-position-vertical-relative:page;z-index:-251656192;mso-width-relative:page;mso-height-relative:page;" filled="f" stroked="f" coordsize="21600,21600" o:gfxdata="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c4cS2gAAAA0BAAAPAAAAAAAAAAEAIAAAACIAAABkcnMvZG93&#10;bnJldi54bWxQSwECFAAUAAAACACHTuJAWTM3Lv4BAAADBAAADgAAAAAAAAABACAAAAApAQAAZHJz&#10;L2Uyb0RvYy54bWxQSwUGAAAAAAYABgBZAQAAmQUAAAAA&#10;">
              <v:fill on="f" focussize="0,0"/>
              <v:stroke on="f"/>
              <v:imagedata o:title=""/>
              <o:lock v:ext="edit" aspectratio="f"/>
              <v:textbox inset="0mm,0mm,0mm,0mm">
                <w:txbxContent>
                  <w:p w14:paraId="7181FE34">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6</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9484">
    <w:pPr>
      <w:pStyle w:val="3"/>
      <w:spacing w:line="14" w:lineRule="auto"/>
      <w:rPr>
        <w:rFonts w:hint="eastAsia"/>
        <w:sz w:val="2"/>
      </w:rPr>
    </w:pPr>
    <w: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6718E52A">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5168;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6718E52A">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FD8F">
    <w:pPr>
      <w:pStyle w:val="3"/>
      <w:spacing w:line="14" w:lineRule="auto"/>
      <w:rPr>
        <w:rFonts w:hint="eastAsia"/>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97DFB"/>
    <w:multiLevelType w:val="singleLevel"/>
    <w:tmpl w:val="85D97DFB"/>
    <w:lvl w:ilvl="0" w:tentative="0">
      <w:start w:val="5"/>
      <w:numFmt w:val="chineseCounting"/>
      <w:suff w:val="nothing"/>
      <w:lvlText w:val="%1、"/>
      <w:lvlJc w:val="left"/>
      <w:rPr>
        <w:rFonts w:hint="eastAsia"/>
      </w:rPr>
    </w:lvl>
  </w:abstractNum>
  <w:abstractNum w:abstractNumId="1">
    <w:nsid w:val="956C9E37"/>
    <w:multiLevelType w:val="singleLevel"/>
    <w:tmpl w:val="956C9E37"/>
    <w:lvl w:ilvl="0" w:tentative="0">
      <w:start w:val="1"/>
      <w:numFmt w:val="chineseCounting"/>
      <w:suff w:val="space"/>
      <w:lvlText w:val="第%1章"/>
      <w:lvlJc w:val="left"/>
      <w:rPr>
        <w:rFonts w:hint="eastAsia"/>
      </w:rPr>
    </w:lvl>
  </w:abstractNum>
  <w:abstractNum w:abstractNumId="2">
    <w:nsid w:val="ABD770F4"/>
    <w:multiLevelType w:val="singleLevel"/>
    <w:tmpl w:val="ABD770F4"/>
    <w:lvl w:ilvl="0" w:tentative="0">
      <w:start w:val="1"/>
      <w:numFmt w:val="decimal"/>
      <w:suff w:val="nothing"/>
      <w:lvlText w:val="（%1）"/>
      <w:lvlJc w:val="left"/>
    </w:lvl>
  </w:abstractNum>
  <w:abstractNum w:abstractNumId="3">
    <w:nsid w:val="B4229AB6"/>
    <w:multiLevelType w:val="singleLevel"/>
    <w:tmpl w:val="B4229AB6"/>
    <w:lvl w:ilvl="0" w:tentative="0">
      <w:start w:val="1"/>
      <w:numFmt w:val="decimal"/>
      <w:suff w:val="nothing"/>
      <w:lvlText w:val="（%1）"/>
      <w:lvlJc w:val="left"/>
    </w:lvl>
  </w:abstractNum>
  <w:abstractNum w:abstractNumId="4">
    <w:nsid w:val="0000000B"/>
    <w:multiLevelType w:val="singleLevel"/>
    <w:tmpl w:val="0000000B"/>
    <w:lvl w:ilvl="0" w:tentative="0">
      <w:start w:val="1"/>
      <w:numFmt w:val="decimal"/>
      <w:pStyle w:val="2"/>
      <w:lvlText w:val="%1."/>
      <w:lvlJc w:val="left"/>
      <w:pPr>
        <w:tabs>
          <w:tab w:val="left" w:pos="425"/>
        </w:tabs>
        <w:ind w:left="425" w:hanging="425"/>
      </w:pPr>
      <w:rPr>
        <w:rFonts w:hint="eastAsia"/>
      </w:rPr>
    </w:lvl>
  </w:abstractNum>
  <w:abstractNum w:abstractNumId="5">
    <w:nsid w:val="4802BE0F"/>
    <w:multiLevelType w:val="singleLevel"/>
    <w:tmpl w:val="4802BE0F"/>
    <w:lvl w:ilvl="0" w:tentative="0">
      <w:start w:val="1"/>
      <w:numFmt w:val="decimal"/>
      <w:suff w:val="nothing"/>
      <w:lvlText w:val="（%1）"/>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0113F"/>
    <w:rsid w:val="00321F02"/>
    <w:rsid w:val="00336483"/>
    <w:rsid w:val="00407642"/>
    <w:rsid w:val="0054262C"/>
    <w:rsid w:val="00565ABE"/>
    <w:rsid w:val="006126EA"/>
    <w:rsid w:val="00652DA2"/>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08C2131C"/>
    <w:rsid w:val="0A461057"/>
    <w:rsid w:val="0AE4604C"/>
    <w:rsid w:val="0CE916F8"/>
    <w:rsid w:val="0ED80526"/>
    <w:rsid w:val="1004733D"/>
    <w:rsid w:val="13E13A8A"/>
    <w:rsid w:val="13EF4742"/>
    <w:rsid w:val="14F10094"/>
    <w:rsid w:val="178F3B0E"/>
    <w:rsid w:val="19A55291"/>
    <w:rsid w:val="1A6E409D"/>
    <w:rsid w:val="1ACE7DEE"/>
    <w:rsid w:val="1D4A0241"/>
    <w:rsid w:val="1DE55F0B"/>
    <w:rsid w:val="1E6C0A54"/>
    <w:rsid w:val="211D2ACC"/>
    <w:rsid w:val="23D63116"/>
    <w:rsid w:val="26A57234"/>
    <w:rsid w:val="27B970E2"/>
    <w:rsid w:val="29537081"/>
    <w:rsid w:val="29B77727"/>
    <w:rsid w:val="2B8A0784"/>
    <w:rsid w:val="2B8B77FD"/>
    <w:rsid w:val="2FFC3ECE"/>
    <w:rsid w:val="302C7224"/>
    <w:rsid w:val="31A67E9A"/>
    <w:rsid w:val="32313149"/>
    <w:rsid w:val="37577894"/>
    <w:rsid w:val="38290394"/>
    <w:rsid w:val="3BF86CB1"/>
    <w:rsid w:val="3F850EA5"/>
    <w:rsid w:val="41077087"/>
    <w:rsid w:val="43C31A60"/>
    <w:rsid w:val="4B35003F"/>
    <w:rsid w:val="4E386B6D"/>
    <w:rsid w:val="50F41201"/>
    <w:rsid w:val="523C1DAD"/>
    <w:rsid w:val="54820702"/>
    <w:rsid w:val="55E00330"/>
    <w:rsid w:val="585336FE"/>
    <w:rsid w:val="597B6865"/>
    <w:rsid w:val="5E4A2CDD"/>
    <w:rsid w:val="5F7768AC"/>
    <w:rsid w:val="634C513D"/>
    <w:rsid w:val="65CC4B32"/>
    <w:rsid w:val="66F12E0D"/>
    <w:rsid w:val="696A4500"/>
    <w:rsid w:val="6B9B729F"/>
    <w:rsid w:val="6BC85AE9"/>
    <w:rsid w:val="6DB53DEA"/>
    <w:rsid w:val="6EA0512F"/>
    <w:rsid w:val="6F1D05CE"/>
    <w:rsid w:val="6F3F2161"/>
    <w:rsid w:val="708E3B5D"/>
    <w:rsid w:val="724C49FA"/>
    <w:rsid w:val="7475174F"/>
    <w:rsid w:val="771816DB"/>
    <w:rsid w:val="77620912"/>
    <w:rsid w:val="7A6619D4"/>
    <w:rsid w:val="7DAB5338"/>
    <w:rsid w:val="7DF62256"/>
    <w:rsid w:val="7E30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en-US" w:eastAsia="zh-CN" w:bidi="ar-SA"/>
    </w:rPr>
  </w:style>
  <w:style w:type="paragraph" w:styleId="2">
    <w:name w:val="heading 3"/>
    <w:basedOn w:val="1"/>
    <w:next w:val="1"/>
    <w:qFormat/>
    <w:uiPriority w:val="0"/>
    <w:pPr>
      <w:keepNext/>
      <w:keepLines/>
      <w:numPr>
        <w:ilvl w:val="0"/>
        <w:numId w:val="1"/>
      </w:numPr>
      <w:tabs>
        <w:tab w:val="left" w:pos="5852"/>
        <w:tab w:val="clear" w:pos="425"/>
      </w:tabs>
      <w:snapToGrid w:val="0"/>
      <w:spacing w:before="360" w:line="240" w:lineRule="exact"/>
      <w:outlineLvl w:val="2"/>
    </w:pPr>
    <w:rPr>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9"/>
    <w:unhideWhenUsed/>
    <w:qFormat/>
    <w:uiPriority w:val="99"/>
    <w:pPr>
      <w:tabs>
        <w:tab w:val="center" w:pos="4153"/>
        <w:tab w:val="right" w:pos="8306"/>
      </w:tabs>
      <w:snapToGrid w:val="0"/>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cs="Times New Roman"/>
      <w:sz w:val="24"/>
    </w:rPr>
  </w:style>
  <w:style w:type="paragraph" w:styleId="7">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customStyle="1" w:styleId="12">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3">
    <w:name w:val="标题 21"/>
    <w:basedOn w:val="1"/>
    <w:qFormat/>
    <w:uiPriority w:val="1"/>
    <w:pPr>
      <w:spacing w:before="11"/>
      <w:ind w:left="749"/>
      <w:jc w:val="center"/>
      <w:outlineLvl w:val="2"/>
    </w:pPr>
    <w:rPr>
      <w:b/>
      <w:bCs/>
      <w:sz w:val="44"/>
      <w:szCs w:val="44"/>
    </w:rPr>
  </w:style>
  <w:style w:type="paragraph" w:customStyle="1" w:styleId="14">
    <w:name w:val="标题 31"/>
    <w:basedOn w:val="1"/>
    <w:qFormat/>
    <w:uiPriority w:val="1"/>
    <w:pPr>
      <w:spacing w:before="38"/>
      <w:ind w:right="1"/>
      <w:jc w:val="center"/>
      <w:outlineLvl w:val="3"/>
    </w:pPr>
    <w:rPr>
      <w:sz w:val="44"/>
      <w:szCs w:val="44"/>
    </w:rPr>
  </w:style>
  <w:style w:type="paragraph" w:customStyle="1" w:styleId="15">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6">
    <w:name w:val="List Paragraph"/>
    <w:basedOn w:val="1"/>
    <w:qFormat/>
    <w:uiPriority w:val="1"/>
    <w:pPr>
      <w:spacing w:before="149"/>
      <w:ind w:left="640" w:hanging="323"/>
    </w:pPr>
  </w:style>
  <w:style w:type="paragraph" w:customStyle="1" w:styleId="17">
    <w:name w:val="Table Paragraph"/>
    <w:basedOn w:val="1"/>
    <w:qFormat/>
    <w:uiPriority w:val="1"/>
  </w:style>
  <w:style w:type="character" w:customStyle="1" w:styleId="18">
    <w:name w:val="页眉 字符"/>
    <w:basedOn w:val="10"/>
    <w:link w:val="5"/>
    <w:qFormat/>
    <w:uiPriority w:val="99"/>
    <w:rPr>
      <w:rFonts w:ascii="仿宋_GB2312" w:hAnsi="仿宋_GB2312" w:eastAsia="仿宋_GB2312" w:cs="仿宋_GB2312"/>
      <w:sz w:val="18"/>
      <w:szCs w:val="18"/>
      <w:lang w:eastAsia="zh-CN"/>
    </w:rPr>
  </w:style>
  <w:style w:type="character" w:customStyle="1" w:styleId="19">
    <w:name w:val="页脚 字符"/>
    <w:basedOn w:val="10"/>
    <w:link w:val="4"/>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4429</Words>
  <Characters>4619</Characters>
  <Lines>34</Lines>
  <Paragraphs>9</Paragraphs>
  <TotalTime>46</TotalTime>
  <ScaleCrop>false</ScaleCrop>
  <LinksUpToDate>false</LinksUpToDate>
  <CharactersWithSpaces>4728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123</cp:lastModifiedBy>
  <cp:lastPrinted>2025-11-11T06:53:00Z</cp:lastPrinted>
  <dcterms:modified xsi:type="dcterms:W3CDTF">2025-11-25T02:47:25Z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eyJoZGlkIjoiOTdlNTI1YjZmMTMyNjQzYjk3MjY3YjBiZDU1YTc1ZDAifQ==</vt:lpwstr>
  </property>
  <property fmtid="{D5CDD505-2E9C-101B-9397-08002B2CF9AE}" pid="6" name="KSOProductBuildVer">
    <vt:lpwstr>2052-12.1.0.23542</vt:lpwstr>
  </property>
  <property fmtid="{D5CDD505-2E9C-101B-9397-08002B2CF9AE}" pid="7" name="ICV">
    <vt:lpwstr>04CBE540543B4626AE4C56FA8CE50D96_13</vt:lpwstr>
  </property>
</Properties>
</file>