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38969">
      <w:pPr>
        <w:pStyle w:val="3"/>
        <w:rPr>
          <w:rFonts w:hint="eastAsia"/>
          <w:sz w:val="20"/>
        </w:rPr>
      </w:pPr>
    </w:p>
    <w:p w14:paraId="6D054FAA">
      <w:pPr>
        <w:pStyle w:val="3"/>
        <w:rPr>
          <w:rFonts w:hint="eastAsia"/>
          <w:sz w:val="20"/>
        </w:rPr>
      </w:pPr>
    </w:p>
    <w:p w14:paraId="63D2ACA7">
      <w:pPr>
        <w:pStyle w:val="3"/>
        <w:rPr>
          <w:rFonts w:hint="eastAsia"/>
          <w:sz w:val="20"/>
        </w:rPr>
      </w:pPr>
    </w:p>
    <w:p w14:paraId="21A61FB4">
      <w:pPr>
        <w:pStyle w:val="3"/>
        <w:rPr>
          <w:rFonts w:hint="eastAsia"/>
          <w:sz w:val="20"/>
        </w:rPr>
      </w:pPr>
    </w:p>
    <w:p w14:paraId="54B04F92">
      <w:pPr>
        <w:pStyle w:val="3"/>
        <w:rPr>
          <w:rFonts w:hint="eastAsia"/>
          <w:sz w:val="20"/>
        </w:rPr>
      </w:pPr>
    </w:p>
    <w:p w14:paraId="3BC9FFB7">
      <w:pPr>
        <w:pStyle w:val="3"/>
        <w:spacing w:before="8"/>
        <w:rPr>
          <w:rFonts w:hint="eastAsia"/>
          <w:sz w:val="27"/>
        </w:rPr>
      </w:pPr>
    </w:p>
    <w:p w14:paraId="41C51711">
      <w:pPr>
        <w:pStyle w:val="12"/>
        <w:spacing w:line="1059" w:lineRule="exact"/>
        <w:rPr>
          <w:rFonts w:hint="eastAsia"/>
        </w:rPr>
      </w:pPr>
      <w:r>
        <w:rPr>
          <w:rFonts w:hint="eastAsia"/>
        </w:rPr>
        <w:t>邀请</w:t>
      </w:r>
      <w:r>
        <w:t>比选项目</w:t>
      </w:r>
    </w:p>
    <w:p w14:paraId="6991FAF9">
      <w:pPr>
        <w:spacing w:before="171"/>
        <w:ind w:left="1077" w:right="1081"/>
        <w:jc w:val="center"/>
        <w:rPr>
          <w:rFonts w:hint="eastAsia" w:ascii="黑体" w:eastAsia="黑体"/>
          <w:b/>
          <w:sz w:val="84"/>
        </w:rPr>
      </w:pPr>
      <w:r>
        <w:rPr>
          <w:rFonts w:hint="eastAsia" w:ascii="黑体" w:eastAsia="黑体"/>
          <w:b/>
          <w:sz w:val="84"/>
        </w:rPr>
        <w:t>采购文件</w:t>
      </w:r>
    </w:p>
    <w:p w14:paraId="7F120D6D">
      <w:pPr>
        <w:pStyle w:val="3"/>
        <w:rPr>
          <w:rFonts w:hint="eastAsia" w:ascii="黑体"/>
          <w:b/>
          <w:sz w:val="84"/>
        </w:rPr>
      </w:pPr>
    </w:p>
    <w:p w14:paraId="1786FED4">
      <w:pPr>
        <w:pStyle w:val="3"/>
        <w:spacing w:before="12"/>
        <w:rPr>
          <w:rFonts w:hint="eastAsia" w:ascii="黑体"/>
          <w:b/>
          <w:sz w:val="119"/>
        </w:rPr>
      </w:pPr>
    </w:p>
    <w:p w14:paraId="13C68B98">
      <w:pPr>
        <w:tabs>
          <w:tab w:val="left" w:pos="7645"/>
        </w:tabs>
        <w:ind w:left="749"/>
        <w:jc w:val="center"/>
        <w:rPr>
          <w:rFonts w:ascii="Times New Roman" w:eastAsia="Times New Roman"/>
          <w:sz w:val="36"/>
          <w:u w:val="single"/>
        </w:rPr>
      </w:pPr>
      <w:r>
        <w:rPr>
          <w:b/>
          <w:sz w:val="36"/>
        </w:rPr>
        <w:t>项目名称</w:t>
      </w:r>
      <w:r>
        <w:rPr>
          <w:rFonts w:ascii="Times New Roman" w:eastAsia="Times New Roman"/>
          <w:b/>
          <w:sz w:val="36"/>
        </w:rPr>
        <w:t>:</w:t>
      </w:r>
      <w:r>
        <w:rPr>
          <w:rFonts w:hint="eastAsia" w:ascii="Times New Roman" w:eastAsia="宋体"/>
          <w:b/>
          <w:sz w:val="36"/>
        </w:rPr>
        <w:t xml:space="preserve">   </w:t>
      </w:r>
      <w:r>
        <w:rPr>
          <w:rFonts w:hint="eastAsia" w:ascii="Times New Roman" w:eastAsia="宋体"/>
          <w:b/>
          <w:sz w:val="36"/>
          <w:u w:val="single"/>
        </w:rPr>
        <w:t xml:space="preserve">        </w:t>
      </w:r>
      <w:r>
        <w:rPr>
          <w:rFonts w:hint="eastAsia" w:ascii="Times New Roman" w:eastAsia="宋体"/>
          <w:sz w:val="36"/>
          <w:u w:val="single"/>
        </w:rPr>
        <w:t xml:space="preserve">2025年消防维保采购项目 </w:t>
      </w:r>
    </w:p>
    <w:p w14:paraId="24DBF755">
      <w:pPr>
        <w:pStyle w:val="3"/>
        <w:spacing w:before="9"/>
        <w:rPr>
          <w:rFonts w:hint="eastAsia" w:ascii="Times New Roman"/>
          <w:sz w:val="21"/>
        </w:rPr>
      </w:pPr>
    </w:p>
    <w:p w14:paraId="29DA4B0C">
      <w:pPr>
        <w:spacing w:before="49"/>
        <w:ind w:left="749" w:right="32" w:firstLine="1084" w:firstLineChars="300"/>
        <w:jc w:val="both"/>
        <w:rPr>
          <w:rFonts w:hint="eastAsia"/>
          <w:b/>
          <w:sz w:val="36"/>
        </w:rPr>
      </w:pPr>
      <w:r>
        <w:rPr>
          <w:b/>
          <w:sz w:val="36"/>
        </w:rPr>
        <w:t>经办单位：</w:t>
      </w:r>
      <w:r>
        <w:rPr>
          <w:rFonts w:hint="eastAsia"/>
          <w:b/>
          <w:sz w:val="36"/>
          <w:u w:val="single"/>
        </w:rPr>
        <w:t xml:space="preserve">     宁德职业技术学院      </w:t>
      </w:r>
    </w:p>
    <w:p w14:paraId="0F41C7BC">
      <w:pPr>
        <w:pStyle w:val="3"/>
        <w:spacing w:before="7"/>
        <w:rPr>
          <w:rFonts w:hint="eastAsia"/>
          <w:b/>
          <w:sz w:val="19"/>
        </w:rPr>
      </w:pPr>
    </w:p>
    <w:p w14:paraId="72B7720E">
      <w:pPr>
        <w:tabs>
          <w:tab w:val="left" w:pos="8675"/>
        </w:tabs>
        <w:spacing w:before="49"/>
        <w:ind w:left="1720"/>
        <w:rPr>
          <w:rFonts w:ascii="Times New Roman" w:eastAsia="Times New Roman"/>
          <w:b/>
          <w:sz w:val="36"/>
        </w:rPr>
      </w:pPr>
      <w:r>
        <w:rPr>
          <w:b/>
          <w:sz w:val="36"/>
        </w:rPr>
        <w:t>发布时间：</w:t>
      </w:r>
      <w:r>
        <w:rPr>
          <w:rFonts w:ascii="Times New Roman" w:eastAsia="Times New Roman"/>
          <w:b/>
          <w:sz w:val="36"/>
          <w:u w:val="single"/>
        </w:rPr>
        <w:t xml:space="preserve"> </w:t>
      </w:r>
      <w:r>
        <w:rPr>
          <w:rFonts w:hint="eastAsia" w:ascii="Times New Roman" w:eastAsia="宋体"/>
          <w:b/>
          <w:sz w:val="36"/>
          <w:u w:val="single"/>
        </w:rPr>
        <w:t xml:space="preserve">             2025年11月</w:t>
      </w:r>
      <w:r>
        <w:rPr>
          <w:rFonts w:hint="eastAsia" w:ascii="Times New Roman" w:eastAsia="宋体"/>
          <w:b/>
          <w:sz w:val="36"/>
          <w:u w:val="single"/>
          <w:lang w:val="en-US" w:eastAsia="zh-CN"/>
        </w:rPr>
        <w:t>27</w:t>
      </w:r>
      <w:r>
        <w:rPr>
          <w:rFonts w:hint="eastAsia" w:ascii="Times New Roman" w:eastAsia="宋体"/>
          <w:b/>
          <w:sz w:val="36"/>
          <w:u w:val="single"/>
        </w:rPr>
        <w:t>日</w:t>
      </w:r>
      <w:r>
        <w:rPr>
          <w:rFonts w:ascii="Times New Roman" w:eastAsia="Times New Roman"/>
          <w:b/>
          <w:sz w:val="36"/>
          <w:u w:val="single"/>
        </w:rPr>
        <w:tab/>
      </w:r>
    </w:p>
    <w:p w14:paraId="614B3023">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60B1465D">
      <w:pPr>
        <w:spacing w:before="15"/>
        <w:ind w:left="749" w:right="747"/>
        <w:jc w:val="center"/>
        <w:rPr>
          <w:rFonts w:hint="eastAsia"/>
          <w:sz w:val="52"/>
        </w:rPr>
      </w:pPr>
      <w:r>
        <w:rPr>
          <w:sz w:val="52"/>
        </w:rPr>
        <w:t>目录</w:t>
      </w:r>
    </w:p>
    <w:p w14:paraId="2FBBBDC0">
      <w:pPr>
        <w:pStyle w:val="3"/>
        <w:tabs>
          <w:tab w:val="right" w:leader="dot" w:pos="9485"/>
        </w:tabs>
        <w:spacing w:before="245"/>
        <w:ind w:left="640"/>
        <w:rPr>
          <w:rFonts w:hint="eastAsia"/>
        </w:rPr>
      </w:pPr>
    </w:p>
    <w:p w14:paraId="2D7229DD">
      <w:pPr>
        <w:numPr>
          <w:ilvl w:val="0"/>
          <w:numId w:val="2"/>
        </w:numPr>
        <w:rPr>
          <w:rFonts w:hint="eastAsia"/>
          <w:sz w:val="44"/>
          <w:szCs w:val="44"/>
        </w:rPr>
      </w:pPr>
      <w:r>
        <w:rPr>
          <w:rFonts w:hint="eastAsia"/>
          <w:sz w:val="44"/>
          <w:szCs w:val="44"/>
        </w:rPr>
        <w:t>比选邀请函</w:t>
      </w:r>
    </w:p>
    <w:p w14:paraId="1E2284AB">
      <w:pPr>
        <w:rPr>
          <w:rFonts w:hint="eastAsia"/>
          <w:sz w:val="44"/>
          <w:szCs w:val="44"/>
        </w:rPr>
      </w:pPr>
    </w:p>
    <w:p w14:paraId="122F75F7">
      <w:pPr>
        <w:numPr>
          <w:ilvl w:val="0"/>
          <w:numId w:val="2"/>
        </w:numPr>
        <w:rPr>
          <w:rFonts w:hint="eastAsia"/>
          <w:sz w:val="44"/>
          <w:szCs w:val="44"/>
        </w:rPr>
      </w:pPr>
      <w:r>
        <w:rPr>
          <w:rFonts w:hint="eastAsia"/>
          <w:sz w:val="44"/>
          <w:szCs w:val="44"/>
        </w:rPr>
        <w:t>比选方案</w:t>
      </w:r>
    </w:p>
    <w:p w14:paraId="23DB7C76">
      <w:pPr>
        <w:rPr>
          <w:rFonts w:hint="eastAsia"/>
          <w:sz w:val="44"/>
          <w:szCs w:val="44"/>
        </w:rPr>
      </w:pPr>
    </w:p>
    <w:p w14:paraId="508FD828">
      <w:pPr>
        <w:jc w:val="center"/>
        <w:rPr>
          <w:rFonts w:hint="eastAsia" w:asciiTheme="minorEastAsia" w:hAnsiTheme="minorEastAsia" w:eastAsiaTheme="minorEastAsia" w:cstheme="minorEastAsia"/>
          <w:b/>
          <w:bCs/>
          <w:sz w:val="32"/>
          <w:szCs w:val="32"/>
        </w:rPr>
      </w:pPr>
      <w:bookmarkStart w:id="0" w:name="_bookmark0"/>
      <w:bookmarkEnd w:id="0"/>
    </w:p>
    <w:p w14:paraId="6E19AC1A">
      <w:pPr>
        <w:jc w:val="center"/>
        <w:rPr>
          <w:rFonts w:hint="eastAsia" w:asciiTheme="minorEastAsia" w:hAnsiTheme="minorEastAsia" w:eastAsiaTheme="minorEastAsia" w:cstheme="minorEastAsia"/>
          <w:b/>
          <w:bCs/>
          <w:sz w:val="32"/>
          <w:szCs w:val="32"/>
        </w:rPr>
      </w:pPr>
    </w:p>
    <w:p w14:paraId="3ED97A89">
      <w:pPr>
        <w:jc w:val="center"/>
        <w:rPr>
          <w:rFonts w:hint="eastAsia" w:asciiTheme="minorEastAsia" w:hAnsiTheme="minorEastAsia" w:eastAsiaTheme="minorEastAsia" w:cstheme="minorEastAsia"/>
          <w:b/>
          <w:bCs/>
          <w:sz w:val="32"/>
          <w:szCs w:val="32"/>
        </w:rPr>
      </w:pPr>
    </w:p>
    <w:p w14:paraId="65108447">
      <w:pPr>
        <w:jc w:val="center"/>
        <w:rPr>
          <w:rFonts w:hint="eastAsia" w:asciiTheme="minorEastAsia" w:hAnsiTheme="minorEastAsia" w:eastAsiaTheme="minorEastAsia" w:cstheme="minorEastAsia"/>
          <w:b/>
          <w:bCs/>
          <w:sz w:val="32"/>
          <w:szCs w:val="32"/>
        </w:rPr>
      </w:pPr>
    </w:p>
    <w:p w14:paraId="12171DA3">
      <w:pPr>
        <w:jc w:val="center"/>
        <w:rPr>
          <w:rFonts w:hint="eastAsia" w:asciiTheme="minorEastAsia" w:hAnsiTheme="minorEastAsia" w:eastAsiaTheme="minorEastAsia" w:cstheme="minorEastAsia"/>
          <w:b/>
          <w:bCs/>
          <w:sz w:val="32"/>
          <w:szCs w:val="32"/>
        </w:rPr>
      </w:pPr>
    </w:p>
    <w:p w14:paraId="4827B838">
      <w:pPr>
        <w:jc w:val="center"/>
        <w:rPr>
          <w:rFonts w:hint="eastAsia" w:asciiTheme="minorEastAsia" w:hAnsiTheme="minorEastAsia" w:eastAsiaTheme="minorEastAsia" w:cstheme="minorEastAsia"/>
          <w:b/>
          <w:bCs/>
          <w:sz w:val="32"/>
          <w:szCs w:val="32"/>
        </w:rPr>
      </w:pPr>
    </w:p>
    <w:p w14:paraId="3F88892E">
      <w:pPr>
        <w:jc w:val="center"/>
        <w:rPr>
          <w:rFonts w:hint="eastAsia" w:asciiTheme="minorEastAsia" w:hAnsiTheme="minorEastAsia" w:eastAsiaTheme="minorEastAsia" w:cstheme="minorEastAsia"/>
          <w:b/>
          <w:bCs/>
          <w:sz w:val="32"/>
          <w:szCs w:val="32"/>
        </w:rPr>
      </w:pPr>
    </w:p>
    <w:p w14:paraId="1DB84C9A">
      <w:pPr>
        <w:jc w:val="center"/>
        <w:rPr>
          <w:rFonts w:hint="eastAsia" w:asciiTheme="minorEastAsia" w:hAnsiTheme="minorEastAsia" w:eastAsiaTheme="minorEastAsia" w:cstheme="minorEastAsia"/>
          <w:b/>
          <w:bCs/>
          <w:sz w:val="32"/>
          <w:szCs w:val="32"/>
        </w:rPr>
      </w:pPr>
    </w:p>
    <w:p w14:paraId="7B1F7D7D">
      <w:pPr>
        <w:jc w:val="center"/>
        <w:rPr>
          <w:rFonts w:hint="eastAsia" w:asciiTheme="minorEastAsia" w:hAnsiTheme="minorEastAsia" w:eastAsiaTheme="minorEastAsia" w:cstheme="minorEastAsia"/>
          <w:b/>
          <w:bCs/>
          <w:sz w:val="32"/>
          <w:szCs w:val="32"/>
        </w:rPr>
      </w:pPr>
    </w:p>
    <w:p w14:paraId="65D7EFE7">
      <w:pPr>
        <w:jc w:val="center"/>
        <w:rPr>
          <w:rFonts w:hint="eastAsia" w:asciiTheme="minorEastAsia" w:hAnsiTheme="minorEastAsia" w:eastAsiaTheme="minorEastAsia" w:cstheme="minorEastAsia"/>
          <w:b/>
          <w:bCs/>
          <w:sz w:val="32"/>
          <w:szCs w:val="32"/>
        </w:rPr>
      </w:pPr>
    </w:p>
    <w:p w14:paraId="0BF51EED">
      <w:pPr>
        <w:jc w:val="center"/>
        <w:rPr>
          <w:rFonts w:hint="eastAsia" w:asciiTheme="minorEastAsia" w:hAnsiTheme="minorEastAsia" w:eastAsiaTheme="minorEastAsia" w:cstheme="minorEastAsia"/>
          <w:b/>
          <w:bCs/>
          <w:sz w:val="32"/>
          <w:szCs w:val="32"/>
        </w:rPr>
      </w:pPr>
    </w:p>
    <w:p w14:paraId="56E6A7E4">
      <w:pPr>
        <w:jc w:val="center"/>
        <w:rPr>
          <w:rFonts w:hint="eastAsia" w:asciiTheme="minorEastAsia" w:hAnsiTheme="minorEastAsia" w:eastAsiaTheme="minorEastAsia" w:cstheme="minorEastAsia"/>
          <w:b/>
          <w:bCs/>
          <w:sz w:val="32"/>
          <w:szCs w:val="32"/>
        </w:rPr>
      </w:pPr>
    </w:p>
    <w:p w14:paraId="7B29E766">
      <w:pPr>
        <w:jc w:val="center"/>
        <w:rPr>
          <w:rFonts w:hint="eastAsia" w:asciiTheme="minorEastAsia" w:hAnsiTheme="minorEastAsia" w:eastAsiaTheme="minorEastAsia" w:cstheme="minorEastAsia"/>
          <w:b/>
          <w:bCs/>
          <w:sz w:val="32"/>
          <w:szCs w:val="32"/>
        </w:rPr>
      </w:pPr>
    </w:p>
    <w:p w14:paraId="32161982">
      <w:pPr>
        <w:jc w:val="center"/>
        <w:rPr>
          <w:rFonts w:hint="eastAsia" w:asciiTheme="minorEastAsia" w:hAnsiTheme="minorEastAsia" w:eastAsiaTheme="minorEastAsia" w:cstheme="minorEastAsia"/>
          <w:b/>
          <w:bCs/>
          <w:sz w:val="32"/>
          <w:szCs w:val="32"/>
        </w:rPr>
      </w:pPr>
    </w:p>
    <w:p w14:paraId="7686F640">
      <w:pPr>
        <w:jc w:val="center"/>
        <w:rPr>
          <w:rFonts w:hint="eastAsia" w:asciiTheme="minorEastAsia" w:hAnsiTheme="minorEastAsia" w:eastAsiaTheme="minorEastAsia" w:cstheme="minorEastAsia"/>
          <w:b/>
          <w:bCs/>
          <w:sz w:val="32"/>
          <w:szCs w:val="32"/>
        </w:rPr>
      </w:pPr>
    </w:p>
    <w:p w14:paraId="7576DC9E">
      <w:pPr>
        <w:jc w:val="center"/>
        <w:rPr>
          <w:rFonts w:hint="eastAsia" w:asciiTheme="minorEastAsia" w:hAnsiTheme="minorEastAsia" w:eastAsiaTheme="minorEastAsia" w:cstheme="minorEastAsia"/>
          <w:b/>
          <w:bCs/>
          <w:sz w:val="32"/>
          <w:szCs w:val="32"/>
        </w:rPr>
      </w:pPr>
    </w:p>
    <w:p w14:paraId="03C30338">
      <w:pPr>
        <w:jc w:val="center"/>
        <w:rPr>
          <w:rFonts w:hint="eastAsia" w:asciiTheme="minorEastAsia" w:hAnsiTheme="minorEastAsia" w:eastAsiaTheme="minorEastAsia" w:cstheme="minorEastAsia"/>
          <w:b/>
          <w:bCs/>
          <w:sz w:val="32"/>
          <w:szCs w:val="32"/>
        </w:rPr>
      </w:pPr>
    </w:p>
    <w:p w14:paraId="5B07E7F6">
      <w:pPr>
        <w:jc w:val="center"/>
        <w:rPr>
          <w:rFonts w:hint="eastAsia" w:asciiTheme="minorEastAsia" w:hAnsiTheme="minorEastAsia" w:eastAsiaTheme="minorEastAsia" w:cstheme="minorEastAsia"/>
          <w:b/>
          <w:bCs/>
          <w:sz w:val="32"/>
          <w:szCs w:val="32"/>
        </w:rPr>
      </w:pPr>
    </w:p>
    <w:p w14:paraId="52A95E26">
      <w:pPr>
        <w:jc w:val="center"/>
        <w:rPr>
          <w:rFonts w:hint="eastAsia" w:asciiTheme="minorEastAsia" w:hAnsiTheme="minorEastAsia" w:eastAsiaTheme="minorEastAsia" w:cstheme="minorEastAsia"/>
          <w:b/>
          <w:bCs/>
          <w:sz w:val="32"/>
          <w:szCs w:val="32"/>
        </w:rPr>
      </w:pPr>
    </w:p>
    <w:p w14:paraId="34CEC09B">
      <w:pPr>
        <w:jc w:val="center"/>
        <w:rPr>
          <w:rFonts w:hint="eastAsia" w:asciiTheme="minorEastAsia" w:hAnsiTheme="minorEastAsia" w:eastAsiaTheme="minorEastAsia" w:cstheme="minorEastAsia"/>
          <w:b/>
          <w:bCs/>
          <w:sz w:val="32"/>
          <w:szCs w:val="32"/>
        </w:rPr>
      </w:pPr>
    </w:p>
    <w:p w14:paraId="6A6FE935">
      <w:pPr>
        <w:jc w:val="center"/>
        <w:rPr>
          <w:rFonts w:hint="eastAsia" w:asciiTheme="minorEastAsia" w:hAnsiTheme="minorEastAsia" w:eastAsiaTheme="minorEastAsia" w:cstheme="minorEastAsia"/>
          <w:b/>
          <w:bCs/>
          <w:sz w:val="32"/>
          <w:szCs w:val="32"/>
        </w:rPr>
      </w:pPr>
    </w:p>
    <w:p w14:paraId="7FACAA07">
      <w:pPr>
        <w:jc w:val="center"/>
        <w:rPr>
          <w:rFonts w:hint="eastAsia" w:asciiTheme="minorEastAsia" w:hAnsiTheme="minorEastAsia" w:eastAsiaTheme="minorEastAsia" w:cstheme="minorEastAsia"/>
          <w:b/>
          <w:bCs/>
          <w:sz w:val="32"/>
          <w:szCs w:val="32"/>
        </w:rPr>
      </w:pPr>
    </w:p>
    <w:p w14:paraId="0815CDBD">
      <w:pPr>
        <w:jc w:val="center"/>
        <w:rPr>
          <w:rFonts w:hint="eastAsia" w:asciiTheme="minorEastAsia" w:hAnsiTheme="minorEastAsia" w:eastAsiaTheme="minorEastAsia" w:cstheme="minorEastAsia"/>
          <w:b/>
          <w:bCs/>
          <w:sz w:val="32"/>
          <w:szCs w:val="32"/>
        </w:rPr>
      </w:pPr>
    </w:p>
    <w:p w14:paraId="5CBA415C">
      <w:pPr>
        <w:jc w:val="center"/>
        <w:rPr>
          <w:rFonts w:hint="eastAsia" w:asciiTheme="minorEastAsia" w:hAnsiTheme="minorEastAsia" w:eastAsiaTheme="minorEastAsia" w:cstheme="minorEastAsia"/>
          <w:b/>
          <w:bCs/>
          <w:sz w:val="32"/>
          <w:szCs w:val="32"/>
        </w:rPr>
      </w:pPr>
    </w:p>
    <w:p w14:paraId="25120724">
      <w:pPr>
        <w:spacing w:line="50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第一章  比选邀请函</w:t>
      </w:r>
    </w:p>
    <w:p w14:paraId="4ADD4732">
      <w:pPr>
        <w:spacing w:line="500" w:lineRule="exact"/>
        <w:jc w:val="both"/>
        <w:rPr>
          <w:rFonts w:hint="eastAsia" w:ascii="宋体" w:hAnsi="宋体" w:eastAsia="宋体" w:cs="宋体"/>
          <w:sz w:val="28"/>
          <w:szCs w:val="28"/>
          <w:u w:val="single"/>
        </w:rPr>
      </w:pPr>
      <w:r>
        <w:rPr>
          <w:rFonts w:hint="eastAsia" w:ascii="宋体" w:hAnsi="宋体" w:eastAsia="宋体" w:cs="宋体"/>
          <w:sz w:val="28"/>
          <w:szCs w:val="28"/>
        </w:rPr>
        <w:t>xxxxxxx公司：</w:t>
      </w:r>
    </w:p>
    <w:p w14:paraId="3FDB0252">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我校拟对</w:t>
      </w:r>
      <w:r>
        <w:rPr>
          <w:rFonts w:hint="eastAsia" w:ascii="宋体" w:hAnsi="宋体" w:eastAsia="宋体" w:cs="宋体"/>
          <w:bCs/>
          <w:sz w:val="28"/>
          <w:szCs w:val="28"/>
          <w:u w:val="single"/>
        </w:rPr>
        <w:t>宁德职业技术学院消防维保</w:t>
      </w:r>
      <w:r>
        <w:rPr>
          <w:rFonts w:hint="eastAsia" w:ascii="宋体" w:hAnsi="宋体" w:eastAsia="宋体" w:cs="宋体"/>
          <w:sz w:val="28"/>
          <w:szCs w:val="28"/>
        </w:rPr>
        <w:t>进行询价比选 ，现诚邀贵公司参与此次询价比选。</w:t>
      </w:r>
    </w:p>
    <w:p w14:paraId="02AFD47E">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bCs/>
          <w:sz w:val="28"/>
          <w:szCs w:val="28"/>
        </w:rPr>
        <w:t>项目概况</w:t>
      </w:r>
      <w:r>
        <w:rPr>
          <w:rFonts w:hint="eastAsia" w:ascii="宋体" w:hAnsi="宋体" w:eastAsia="宋体" w:cs="宋体"/>
          <w:sz w:val="28"/>
          <w:szCs w:val="28"/>
        </w:rPr>
        <w:t>：</w:t>
      </w:r>
    </w:p>
    <w:p w14:paraId="603BE671">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1、宁德职业技术学院总建筑面积约112522㎡。学校建筑包括教学楼、办公楼、宿舍楼、食堂等共23栋，</w:t>
      </w:r>
    </w:p>
    <w:p w14:paraId="07148009">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2、招标控制价：</w:t>
      </w:r>
      <w:r>
        <w:rPr>
          <w:rFonts w:hint="eastAsia" w:ascii="宋体" w:hAnsi="宋体" w:eastAsia="宋体" w:cs="宋体"/>
          <w:sz w:val="28"/>
          <w:szCs w:val="28"/>
          <w:u w:val="single"/>
        </w:rPr>
        <w:t xml:space="preserve"> ¥80000元</w:t>
      </w:r>
      <w:r>
        <w:rPr>
          <w:rFonts w:hint="eastAsia" w:ascii="宋体" w:hAnsi="宋体" w:eastAsia="宋体" w:cs="宋体"/>
          <w:sz w:val="28"/>
          <w:szCs w:val="28"/>
        </w:rPr>
        <w:t xml:space="preserve"> 大写：</w:t>
      </w:r>
      <w:r>
        <w:rPr>
          <w:rFonts w:hint="eastAsia" w:ascii="宋体" w:hAnsi="宋体" w:eastAsia="宋体" w:cs="宋体"/>
          <w:sz w:val="28"/>
          <w:szCs w:val="28"/>
          <w:u w:val="single"/>
        </w:rPr>
        <w:t>捌万元</w:t>
      </w:r>
      <w:r>
        <w:rPr>
          <w:rFonts w:hint="eastAsia" w:ascii="宋体" w:hAnsi="宋体" w:eastAsia="宋体" w:cs="宋体"/>
          <w:sz w:val="28"/>
          <w:szCs w:val="28"/>
        </w:rPr>
        <w:t>整为最高限价。</w:t>
      </w:r>
    </w:p>
    <w:p w14:paraId="2FE35927">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3、消防维护保养</w:t>
      </w:r>
      <w:r>
        <w:rPr>
          <w:rFonts w:hint="eastAsia" w:ascii="宋体" w:hAnsi="宋体" w:eastAsia="宋体" w:cs="宋体"/>
          <w:color w:val="000000"/>
          <w:sz w:val="28"/>
          <w:szCs w:val="28"/>
          <w:shd w:val="clear" w:color="auto" w:fill="FFFFFF"/>
          <w:lang w:bidi="ar"/>
        </w:rPr>
        <w:t>服务期限为1+1年，</w:t>
      </w:r>
      <w:r>
        <w:rPr>
          <w:rFonts w:hint="eastAsia" w:ascii="宋体" w:hAnsi="宋体" w:eastAsia="宋体" w:cs="宋体"/>
          <w:sz w:val="28"/>
          <w:szCs w:val="28"/>
        </w:rPr>
        <w:t>本次服务合同采用“1+1”模式，总年限最长可达二年。</w:t>
      </w:r>
    </w:p>
    <w:p w14:paraId="75BBCEBD">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第一年：为首个固定服务期，双方签署正式合同。</w:t>
      </w:r>
    </w:p>
    <w:p w14:paraId="79539CFD">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第二年：为可选续约期。</w:t>
      </w:r>
    </w:p>
    <w:p w14:paraId="71F06D93">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续约机制：能否续约取决于年度绩效考核结果。在第一个服务年度结束前，甲方将组织考核，考核达标后方可续签下一年度的合同。若考核不达标，甲方有权终止合作。</w:t>
      </w:r>
    </w:p>
    <w:p w14:paraId="0E4C3113">
      <w:pPr>
        <w:autoSpaceDE/>
        <w:autoSpaceDN/>
        <w:spacing w:line="500" w:lineRule="exact"/>
        <w:ind w:firstLine="560" w:firstLineChars="200"/>
        <w:jc w:val="both"/>
        <w:rPr>
          <w:rFonts w:hint="eastAsia" w:ascii="宋体" w:hAnsi="宋体" w:eastAsia="宋体" w:cs="宋体"/>
          <w:sz w:val="28"/>
          <w:szCs w:val="28"/>
          <w:u w:val="single"/>
        </w:rPr>
      </w:pPr>
      <w:r>
        <w:rPr>
          <w:rFonts w:hint="eastAsia" w:ascii="宋体" w:hAnsi="宋体" w:eastAsia="宋体" w:cs="宋体"/>
          <w:sz w:val="28"/>
          <w:szCs w:val="28"/>
        </w:rPr>
        <w:t>4、评标办法：邀请比选，最低价中标。</w:t>
      </w:r>
    </w:p>
    <w:p w14:paraId="2220B8BB">
      <w:pPr>
        <w:widowControl/>
        <w:shd w:val="clear" w:color="auto" w:fill="FFFFFF"/>
        <w:spacing w:line="500" w:lineRule="exact"/>
        <w:ind w:firstLine="562"/>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lang w:bidi="ar"/>
        </w:rPr>
        <w:t>二、服务商应具备的资格条件：</w:t>
      </w:r>
    </w:p>
    <w:p w14:paraId="512CD988">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（一）服务商应符合参加本次比选活动应当具备的条件：</w:t>
      </w:r>
    </w:p>
    <w:p w14:paraId="28D38E0A">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1、具有独立承担民事责任能力；</w:t>
      </w:r>
    </w:p>
    <w:p w14:paraId="0F6D9F98">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2、具有履行合同所必须的设备和专业技术能力；</w:t>
      </w:r>
    </w:p>
    <w:p w14:paraId="16CF94A3">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3、参加比选活动前三年内，在经营活动中没有重大违法记录，遵守相关的法律和法规。</w:t>
      </w:r>
    </w:p>
    <w:p w14:paraId="1443452C">
      <w:pPr>
        <w:pStyle w:val="6"/>
        <w:widowControl/>
        <w:shd w:val="clear" w:color="auto" w:fill="FFFFFF"/>
        <w:spacing w:before="0" w:beforeAutospacing="0" w:after="0" w:afterAutospacing="0" w:line="500" w:lineRule="exact"/>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被列入失信被执行人、重大税收违法案件当事人名单、采购严重违法失信行为记录名单且禁止进入政府市场的处罚还在有效期内的服务商不得参与本次采购活动。相关主体信用记录以“信用中国”网站（www.creditchina.gov.cn）网站查询结果为准。</w:t>
      </w:r>
    </w:p>
    <w:p w14:paraId="67C6EFAD">
      <w:pPr>
        <w:widowControl/>
        <w:shd w:val="clear" w:color="auto" w:fill="FFFFFF"/>
        <w:spacing w:line="500" w:lineRule="exact"/>
        <w:ind w:left="3115" w:leftChars="266" w:hanging="2530" w:hangingChars="900"/>
        <w:rPr>
          <w:rFonts w:hint="eastAsia" w:ascii="宋体" w:hAnsi="宋体" w:eastAsia="宋体" w:cs="宋体"/>
          <w:color w:val="000000"/>
          <w:sz w:val="28"/>
          <w:szCs w:val="28"/>
          <w:shd w:val="clear" w:color="auto" w:fill="FFFFFF"/>
          <w:lang w:bidi="ar"/>
        </w:rPr>
      </w:pPr>
      <w:r>
        <w:rPr>
          <w:rFonts w:hint="eastAsia" w:ascii="宋体" w:hAnsi="宋体" w:eastAsia="宋体" w:cs="宋体"/>
          <w:b/>
          <w:bCs/>
          <w:color w:val="000000"/>
          <w:sz w:val="28"/>
          <w:szCs w:val="28"/>
          <w:shd w:val="clear" w:color="auto" w:fill="FFFFFF"/>
          <w:lang w:bidi="ar"/>
        </w:rPr>
        <w:t>三、服务商报名地点:</w:t>
      </w:r>
      <w:r>
        <w:rPr>
          <w:rFonts w:hint="eastAsia" w:ascii="宋体" w:hAnsi="宋体" w:eastAsia="宋体" w:cs="宋体"/>
          <w:color w:val="000000"/>
          <w:sz w:val="28"/>
          <w:szCs w:val="28"/>
          <w:shd w:val="clear" w:color="auto" w:fill="FFFFFF"/>
          <w:lang w:bidi="ar"/>
        </w:rPr>
        <w:t>福安市宁德职业技术学院安全保卫处</w:t>
      </w:r>
    </w:p>
    <w:p w14:paraId="4B2309D3">
      <w:pPr>
        <w:widowControl/>
        <w:shd w:val="clear" w:color="auto" w:fill="FFFFFF"/>
        <w:spacing w:line="500" w:lineRule="exact"/>
        <w:ind w:left="3115" w:leftChars="266" w:hanging="2530" w:hangingChars="900"/>
        <w:rPr>
          <w:rFonts w:hint="eastAsia" w:ascii="宋体" w:hAnsi="宋体" w:eastAsia="宋体" w:cs="宋体"/>
          <w:b/>
          <w:bCs/>
          <w:color w:val="000000"/>
          <w:sz w:val="28"/>
          <w:szCs w:val="28"/>
          <w:shd w:val="clear" w:color="auto" w:fill="FFFFFF"/>
          <w:lang w:bidi="ar"/>
        </w:rPr>
      </w:pPr>
    </w:p>
    <w:p w14:paraId="6FB0592F">
      <w:pPr>
        <w:widowControl/>
        <w:shd w:val="clear" w:color="auto" w:fill="FFFFFF"/>
        <w:spacing w:line="500" w:lineRule="exact"/>
        <w:ind w:left="3115" w:leftChars="266" w:hanging="2530" w:hangingChars="900"/>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lang w:bidi="ar"/>
        </w:rPr>
        <w:t>四、递交报价响应文件截止时间：2025</w:t>
      </w:r>
      <w:r>
        <w:rPr>
          <w:rFonts w:hint="eastAsia" w:ascii="宋体" w:hAnsi="宋体" w:eastAsia="宋体" w:cs="宋体"/>
          <w:color w:val="000000"/>
          <w:sz w:val="28"/>
          <w:szCs w:val="28"/>
          <w:shd w:val="clear" w:color="auto" w:fill="FFFFFF"/>
          <w:lang w:bidi="ar"/>
        </w:rPr>
        <w:t>年1</w:t>
      </w:r>
      <w:r>
        <w:rPr>
          <w:rFonts w:hint="eastAsia" w:ascii="宋体" w:hAnsi="宋体" w:eastAsia="宋体" w:cs="宋体"/>
          <w:color w:val="000000"/>
          <w:sz w:val="28"/>
          <w:szCs w:val="28"/>
          <w:shd w:val="clear" w:color="auto" w:fill="FFFFFF"/>
          <w:lang w:val="en-US" w:eastAsia="zh-CN" w:bidi="ar"/>
        </w:rPr>
        <w:t>2</w:t>
      </w:r>
      <w:r>
        <w:rPr>
          <w:rFonts w:hint="eastAsia" w:ascii="宋体" w:hAnsi="宋体" w:eastAsia="宋体" w:cs="宋体"/>
          <w:color w:val="000000"/>
          <w:sz w:val="28"/>
          <w:szCs w:val="28"/>
          <w:shd w:val="clear" w:color="auto" w:fill="FFFFFF"/>
          <w:lang w:bidi="ar"/>
        </w:rPr>
        <w:t>月</w:t>
      </w:r>
      <w:r>
        <w:rPr>
          <w:rFonts w:hint="eastAsia" w:ascii="宋体" w:hAnsi="宋体" w:eastAsia="宋体" w:cs="宋体"/>
          <w:color w:val="000000"/>
          <w:sz w:val="28"/>
          <w:szCs w:val="28"/>
          <w:shd w:val="clear" w:color="auto" w:fill="FFFFFF"/>
          <w:lang w:val="en-US" w:eastAsia="zh-CN" w:bidi="ar"/>
        </w:rPr>
        <w:t>1</w:t>
      </w:r>
      <w:r>
        <w:rPr>
          <w:rFonts w:hint="eastAsia" w:ascii="宋体" w:hAnsi="宋体" w:eastAsia="宋体" w:cs="宋体"/>
          <w:color w:val="000000"/>
          <w:sz w:val="28"/>
          <w:szCs w:val="28"/>
          <w:shd w:val="clear" w:color="auto" w:fill="FFFFFF"/>
          <w:lang w:bidi="ar"/>
        </w:rPr>
        <w:t xml:space="preserve">日17：30   </w:t>
      </w:r>
    </w:p>
    <w:p w14:paraId="656D6CEC">
      <w:pPr>
        <w:widowControl/>
        <w:shd w:val="clear" w:color="auto" w:fill="FFFFFF"/>
        <w:spacing w:line="500" w:lineRule="exact"/>
        <w:ind w:firstLine="562"/>
        <w:rPr>
          <w:rFonts w:hint="eastAsia" w:ascii="宋体" w:hAnsi="宋体" w:eastAsia="宋体" w:cs="宋体"/>
          <w:color w:val="000000"/>
          <w:sz w:val="28"/>
          <w:szCs w:val="28"/>
          <w:shd w:val="clear" w:color="auto" w:fill="FFFFFF"/>
          <w:lang w:bidi="ar"/>
        </w:rPr>
      </w:pPr>
      <w:r>
        <w:rPr>
          <w:rFonts w:hint="eastAsia" w:ascii="宋体" w:hAnsi="宋体" w:eastAsia="宋体" w:cs="宋体"/>
          <w:color w:val="000000"/>
          <w:sz w:val="28"/>
          <w:szCs w:val="28"/>
          <w:shd w:val="clear" w:color="auto" w:fill="FFFFFF"/>
          <w:lang w:bidi="ar"/>
        </w:rPr>
        <w:t>服务商应于当日截止时间前将报价响应文件送达比选地点，逾期送达或没有密封的报价响应文件不予接收。（文件接收时间：截止2025 年 1</w:t>
      </w:r>
      <w:r>
        <w:rPr>
          <w:rFonts w:hint="eastAsia" w:ascii="宋体" w:hAnsi="宋体" w:eastAsia="宋体" w:cs="宋体"/>
          <w:color w:val="000000"/>
          <w:sz w:val="28"/>
          <w:szCs w:val="28"/>
          <w:shd w:val="clear" w:color="auto" w:fill="FFFFFF"/>
          <w:lang w:val="en-US" w:eastAsia="zh-CN" w:bidi="ar"/>
        </w:rPr>
        <w:t>2</w:t>
      </w:r>
      <w:r>
        <w:rPr>
          <w:rFonts w:hint="eastAsia" w:ascii="宋体" w:hAnsi="宋体" w:eastAsia="宋体" w:cs="宋体"/>
          <w:color w:val="000000"/>
          <w:sz w:val="28"/>
          <w:szCs w:val="28"/>
          <w:shd w:val="clear" w:color="auto" w:fill="FFFFFF"/>
          <w:lang w:bidi="ar"/>
        </w:rPr>
        <w:t xml:space="preserve">月 </w:t>
      </w:r>
      <w:r>
        <w:rPr>
          <w:rFonts w:hint="eastAsia" w:ascii="宋体" w:hAnsi="宋体" w:eastAsia="宋体" w:cs="宋体"/>
          <w:color w:val="000000"/>
          <w:sz w:val="28"/>
          <w:szCs w:val="28"/>
          <w:shd w:val="clear" w:color="auto" w:fill="FFFFFF"/>
          <w:lang w:val="en-US" w:eastAsia="zh-CN" w:bidi="ar"/>
        </w:rPr>
        <w:t>1</w:t>
      </w:r>
      <w:r>
        <w:rPr>
          <w:rFonts w:hint="eastAsia" w:ascii="宋体" w:hAnsi="宋体" w:eastAsia="宋体" w:cs="宋体"/>
          <w:color w:val="000000"/>
          <w:sz w:val="28"/>
          <w:szCs w:val="28"/>
          <w:shd w:val="clear" w:color="auto" w:fill="FFFFFF"/>
          <w:lang w:bidi="ar"/>
        </w:rPr>
        <w:t>日 1</w:t>
      </w:r>
      <w:r>
        <w:rPr>
          <w:rFonts w:hint="eastAsia" w:ascii="宋体" w:hAnsi="宋体" w:eastAsia="宋体" w:cs="宋体"/>
          <w:color w:val="000000"/>
          <w:sz w:val="28"/>
          <w:szCs w:val="28"/>
          <w:shd w:val="clear" w:color="auto" w:fill="FFFFFF"/>
          <w:lang w:val="en-US" w:eastAsia="zh-CN" w:bidi="ar"/>
        </w:rPr>
        <w:t>7</w:t>
      </w:r>
      <w:r>
        <w:rPr>
          <w:rFonts w:hint="eastAsia" w:ascii="宋体" w:hAnsi="宋体" w:eastAsia="宋体" w:cs="宋体"/>
          <w:color w:val="000000"/>
          <w:sz w:val="28"/>
          <w:szCs w:val="28"/>
          <w:shd w:val="clear" w:color="auto" w:fill="FFFFFF"/>
          <w:lang w:bidi="ar"/>
        </w:rPr>
        <w:t>：30 ）。</w:t>
      </w:r>
    </w:p>
    <w:p w14:paraId="34DE8F66">
      <w:pPr>
        <w:widowControl/>
        <w:numPr>
          <w:ilvl w:val="0"/>
          <w:numId w:val="3"/>
        </w:numPr>
        <w:shd w:val="clear" w:color="auto" w:fill="FFFFFF"/>
        <w:spacing w:line="500" w:lineRule="exact"/>
        <w:ind w:firstLine="562"/>
        <w:rPr>
          <w:rFonts w:hint="eastAsia" w:ascii="宋体" w:hAnsi="宋体" w:eastAsia="宋体" w:cs="宋体"/>
          <w:color w:val="000000"/>
          <w:sz w:val="28"/>
          <w:szCs w:val="28"/>
          <w:shd w:val="clear" w:color="auto" w:fill="FFFFFF"/>
          <w:lang w:bidi="ar"/>
        </w:rPr>
      </w:pPr>
      <w:r>
        <w:rPr>
          <w:rFonts w:hint="eastAsia" w:ascii="宋体" w:hAnsi="宋体" w:eastAsia="宋体" w:cs="宋体"/>
          <w:b/>
          <w:bCs/>
          <w:color w:val="000000"/>
          <w:sz w:val="28"/>
          <w:szCs w:val="28"/>
          <w:shd w:val="clear" w:color="auto" w:fill="FFFFFF"/>
          <w:lang w:bidi="ar"/>
        </w:rPr>
        <w:t>递交报价响应文件地点：</w:t>
      </w:r>
      <w:r>
        <w:rPr>
          <w:rFonts w:hint="eastAsia" w:ascii="宋体" w:hAnsi="宋体" w:eastAsia="宋体" w:cs="宋体"/>
          <w:color w:val="000000"/>
          <w:sz w:val="28"/>
          <w:szCs w:val="28"/>
          <w:shd w:val="clear" w:color="auto" w:fill="FFFFFF"/>
          <w:lang w:bidi="ar"/>
        </w:rPr>
        <w:t>宁德职业技术学院安全保卫处。</w:t>
      </w:r>
    </w:p>
    <w:p w14:paraId="6B4F464E">
      <w:pPr>
        <w:widowControl/>
        <w:shd w:val="clear" w:color="auto" w:fill="FFFFFF"/>
        <w:spacing w:line="500" w:lineRule="exact"/>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lang w:bidi="ar"/>
        </w:rPr>
        <w:t>六、联系人及联系电话：</w:t>
      </w:r>
    </w:p>
    <w:p w14:paraId="5FBA8CD4">
      <w:pPr>
        <w:widowControl/>
        <w:shd w:val="clear" w:color="auto" w:fill="FFFFFF"/>
        <w:spacing w:line="500" w:lineRule="exact"/>
        <w:ind w:firstLine="560"/>
        <w:rPr>
          <w:rFonts w:hint="eastAsia" w:ascii="宋体" w:hAnsi="宋体" w:eastAsia="宋体" w:cs="宋体"/>
          <w:color w:val="000000"/>
          <w:sz w:val="28"/>
          <w:szCs w:val="28"/>
          <w:shd w:val="clear" w:color="auto" w:fill="FFFFFF"/>
          <w:lang w:bidi="ar"/>
        </w:rPr>
      </w:pPr>
      <w:r>
        <w:rPr>
          <w:rFonts w:hint="eastAsia" w:ascii="宋体" w:hAnsi="宋体" w:eastAsia="宋体" w:cs="宋体"/>
          <w:color w:val="000000"/>
          <w:sz w:val="28"/>
          <w:szCs w:val="28"/>
          <w:shd w:val="clear" w:color="auto" w:fill="FFFFFF"/>
          <w:lang w:bidi="ar"/>
        </w:rPr>
        <w:t>采 购 人：宁德职业技术学院</w:t>
      </w:r>
    </w:p>
    <w:p w14:paraId="07E37244">
      <w:pPr>
        <w:widowControl/>
        <w:shd w:val="clear" w:color="auto" w:fill="FFFFFF"/>
        <w:spacing w:line="500" w:lineRule="exact"/>
        <w:ind w:firstLine="560"/>
        <w:rPr>
          <w:rFonts w:hint="default" w:ascii="宋体" w:hAnsi="宋体" w:eastAsia="宋体" w:cs="宋体"/>
          <w:color w:val="000000"/>
          <w:sz w:val="28"/>
          <w:szCs w:val="28"/>
          <w:shd w:val="clear" w:color="auto" w:fill="FFFFFF"/>
          <w:lang w:val="en-US" w:eastAsia="zh-CN" w:bidi="ar"/>
        </w:rPr>
      </w:pPr>
      <w:r>
        <w:rPr>
          <w:rFonts w:hint="eastAsia" w:ascii="宋体" w:hAnsi="宋体" w:eastAsia="宋体" w:cs="宋体"/>
          <w:color w:val="000000"/>
          <w:sz w:val="28"/>
          <w:szCs w:val="28"/>
          <w:shd w:val="clear" w:color="auto" w:fill="FFFFFF"/>
          <w:lang w:bidi="ar"/>
        </w:rPr>
        <w:t>联 系 人：</w:t>
      </w:r>
      <w:r>
        <w:rPr>
          <w:rFonts w:hint="eastAsia" w:ascii="宋体" w:hAnsi="宋体" w:eastAsia="宋体" w:cs="宋体"/>
          <w:color w:val="000000"/>
          <w:sz w:val="28"/>
          <w:szCs w:val="28"/>
          <w:shd w:val="clear" w:color="auto" w:fill="FFFFFF"/>
          <w:lang w:val="en-US" w:eastAsia="zh-CN" w:bidi="ar"/>
        </w:rPr>
        <w:t>连老师</w:t>
      </w:r>
      <w:bookmarkStart w:id="2" w:name="_GoBack"/>
      <w:bookmarkEnd w:id="2"/>
    </w:p>
    <w:p w14:paraId="7849CC81">
      <w:pPr>
        <w:widowControl/>
        <w:shd w:val="clear" w:color="auto" w:fill="FFFFFF"/>
        <w:spacing w:line="500" w:lineRule="exact"/>
        <w:ind w:firstLine="560"/>
        <w:rPr>
          <w:rFonts w:hint="eastAsia" w:ascii="宋体" w:hAnsi="宋体" w:eastAsia="宋体" w:cs="宋体"/>
          <w:color w:val="000000"/>
          <w:sz w:val="28"/>
          <w:szCs w:val="28"/>
          <w:shd w:val="clear" w:color="auto" w:fill="FFFFFF"/>
          <w:lang w:bidi="ar"/>
        </w:rPr>
      </w:pPr>
      <w:r>
        <w:rPr>
          <w:rFonts w:hint="eastAsia" w:ascii="宋体" w:hAnsi="宋体" w:eastAsia="宋体" w:cs="宋体"/>
          <w:color w:val="000000"/>
          <w:sz w:val="28"/>
          <w:szCs w:val="28"/>
          <w:shd w:val="clear" w:color="auto" w:fill="FFFFFF"/>
          <w:lang w:bidi="ar"/>
        </w:rPr>
        <w:t>联系电话：18859306516</w:t>
      </w:r>
    </w:p>
    <w:p w14:paraId="1C778976">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通讯地址：福安市福泰路232号宁德职业技术学院安全保卫处</w:t>
      </w:r>
    </w:p>
    <w:p w14:paraId="4CFE1B0E">
      <w:pPr>
        <w:widowControl/>
        <w:shd w:val="clear" w:color="auto" w:fill="FFFFFF"/>
        <w:spacing w:line="500" w:lineRule="exact"/>
        <w:ind w:left="4225" w:leftChars="266" w:hanging="3640" w:hangingChars="1300"/>
        <w:rPr>
          <w:rFonts w:hint="eastAsia" w:ascii="宋体" w:hAnsi="宋体" w:eastAsia="宋体" w:cs="宋体"/>
          <w:color w:val="000000"/>
          <w:sz w:val="28"/>
          <w:szCs w:val="28"/>
        </w:rPr>
      </w:pPr>
    </w:p>
    <w:p w14:paraId="111ACDB4">
      <w:pPr>
        <w:pStyle w:val="6"/>
        <w:widowControl/>
        <w:shd w:val="clear" w:color="auto" w:fill="FFFFFF"/>
        <w:spacing w:before="0" w:beforeAutospacing="0" w:after="0" w:afterAutospacing="0" w:line="500" w:lineRule="exact"/>
        <w:ind w:firstLine="560"/>
        <w:rPr>
          <w:rFonts w:hint="eastAsia" w:ascii="宋体" w:hAnsi="宋体" w:eastAsia="宋体" w:cs="宋体"/>
          <w:color w:val="000000"/>
          <w:sz w:val="28"/>
          <w:szCs w:val="28"/>
        </w:rPr>
      </w:pPr>
    </w:p>
    <w:p w14:paraId="357B202A">
      <w:pPr>
        <w:autoSpaceDE/>
        <w:autoSpaceDN/>
        <w:spacing w:line="500" w:lineRule="exact"/>
        <w:ind w:firstLine="5600" w:firstLineChars="2000"/>
        <w:rPr>
          <w:rFonts w:hint="eastAsia" w:ascii="宋体" w:hAnsi="宋体" w:eastAsia="宋体" w:cs="宋体"/>
          <w:sz w:val="28"/>
          <w:szCs w:val="28"/>
        </w:rPr>
      </w:pPr>
    </w:p>
    <w:p w14:paraId="16C8BD6A">
      <w:pPr>
        <w:spacing w:line="500" w:lineRule="exact"/>
        <w:jc w:val="center"/>
        <w:rPr>
          <w:rFonts w:hint="eastAsia" w:ascii="宋体" w:hAnsi="宋体" w:eastAsia="宋体" w:cs="宋体"/>
          <w:b/>
          <w:bCs/>
          <w:sz w:val="28"/>
          <w:szCs w:val="28"/>
        </w:rPr>
      </w:pPr>
    </w:p>
    <w:p w14:paraId="27A2E595">
      <w:pPr>
        <w:spacing w:line="500" w:lineRule="exact"/>
        <w:jc w:val="center"/>
        <w:rPr>
          <w:rFonts w:hint="eastAsia" w:ascii="宋体" w:hAnsi="宋体" w:eastAsia="宋体" w:cs="宋体"/>
          <w:b/>
          <w:bCs/>
          <w:sz w:val="28"/>
          <w:szCs w:val="28"/>
        </w:rPr>
      </w:pPr>
    </w:p>
    <w:p w14:paraId="36338484">
      <w:pPr>
        <w:spacing w:line="500" w:lineRule="exact"/>
        <w:jc w:val="center"/>
        <w:rPr>
          <w:rFonts w:hint="eastAsia" w:ascii="宋体" w:hAnsi="宋体" w:eastAsia="宋体" w:cs="宋体"/>
          <w:b/>
          <w:bCs/>
          <w:sz w:val="28"/>
          <w:szCs w:val="28"/>
        </w:rPr>
      </w:pPr>
    </w:p>
    <w:p w14:paraId="0F097414">
      <w:pPr>
        <w:spacing w:line="500" w:lineRule="exact"/>
        <w:jc w:val="center"/>
        <w:rPr>
          <w:rFonts w:hint="eastAsia" w:ascii="宋体" w:hAnsi="宋体" w:eastAsia="宋体" w:cs="宋体"/>
          <w:b/>
          <w:bCs/>
          <w:sz w:val="28"/>
          <w:szCs w:val="28"/>
        </w:rPr>
      </w:pPr>
    </w:p>
    <w:p w14:paraId="0575E1A3">
      <w:pPr>
        <w:spacing w:line="500" w:lineRule="exact"/>
        <w:jc w:val="center"/>
        <w:rPr>
          <w:rFonts w:hint="eastAsia" w:ascii="宋体" w:hAnsi="宋体" w:eastAsia="宋体" w:cs="宋体"/>
          <w:b/>
          <w:bCs/>
          <w:sz w:val="28"/>
          <w:szCs w:val="28"/>
        </w:rPr>
      </w:pPr>
    </w:p>
    <w:p w14:paraId="4D2D5AFA">
      <w:pPr>
        <w:spacing w:line="500" w:lineRule="exact"/>
        <w:jc w:val="center"/>
        <w:rPr>
          <w:rFonts w:hint="eastAsia" w:ascii="宋体" w:hAnsi="宋体" w:eastAsia="宋体" w:cs="宋体"/>
          <w:b/>
          <w:bCs/>
          <w:sz w:val="28"/>
          <w:szCs w:val="28"/>
        </w:rPr>
      </w:pPr>
    </w:p>
    <w:p w14:paraId="15CDED55">
      <w:pPr>
        <w:spacing w:line="500" w:lineRule="exact"/>
        <w:jc w:val="center"/>
        <w:rPr>
          <w:rFonts w:hint="eastAsia" w:ascii="宋体" w:hAnsi="宋体" w:eastAsia="宋体" w:cs="宋体"/>
          <w:b/>
          <w:bCs/>
          <w:sz w:val="28"/>
          <w:szCs w:val="28"/>
        </w:rPr>
      </w:pPr>
    </w:p>
    <w:p w14:paraId="09CA5D40">
      <w:pPr>
        <w:spacing w:line="500" w:lineRule="exact"/>
        <w:jc w:val="center"/>
        <w:rPr>
          <w:rFonts w:hint="eastAsia" w:ascii="宋体" w:hAnsi="宋体" w:eastAsia="宋体" w:cs="宋体"/>
          <w:b/>
          <w:bCs/>
          <w:sz w:val="28"/>
          <w:szCs w:val="28"/>
        </w:rPr>
      </w:pPr>
    </w:p>
    <w:p w14:paraId="0DEB2AA2">
      <w:pPr>
        <w:spacing w:line="500" w:lineRule="exact"/>
        <w:jc w:val="center"/>
        <w:rPr>
          <w:rFonts w:hint="eastAsia" w:ascii="宋体" w:hAnsi="宋体" w:eastAsia="宋体" w:cs="宋体"/>
          <w:b/>
          <w:bCs/>
          <w:sz w:val="28"/>
          <w:szCs w:val="28"/>
        </w:rPr>
      </w:pPr>
    </w:p>
    <w:p w14:paraId="5AC5DDE2">
      <w:pPr>
        <w:spacing w:line="500" w:lineRule="exact"/>
        <w:jc w:val="center"/>
        <w:rPr>
          <w:rFonts w:hint="eastAsia" w:ascii="宋体" w:hAnsi="宋体" w:eastAsia="宋体" w:cs="宋体"/>
          <w:b/>
          <w:bCs/>
          <w:sz w:val="28"/>
          <w:szCs w:val="28"/>
        </w:rPr>
      </w:pPr>
    </w:p>
    <w:p w14:paraId="5416D3A7">
      <w:pPr>
        <w:spacing w:line="500" w:lineRule="exact"/>
        <w:jc w:val="center"/>
        <w:rPr>
          <w:rFonts w:hint="eastAsia" w:asciiTheme="minorEastAsia" w:hAnsiTheme="minorEastAsia" w:eastAsiaTheme="minorEastAsia" w:cstheme="minorEastAsia"/>
          <w:b/>
          <w:bCs/>
          <w:sz w:val="28"/>
          <w:szCs w:val="28"/>
        </w:rPr>
      </w:pPr>
    </w:p>
    <w:p w14:paraId="072A2942">
      <w:pPr>
        <w:spacing w:line="500" w:lineRule="exact"/>
        <w:jc w:val="center"/>
        <w:rPr>
          <w:rFonts w:hint="eastAsia" w:asciiTheme="minorEastAsia" w:hAnsiTheme="minorEastAsia" w:eastAsiaTheme="minorEastAsia" w:cstheme="minorEastAsia"/>
          <w:b/>
          <w:bCs/>
          <w:sz w:val="28"/>
          <w:szCs w:val="28"/>
        </w:rPr>
      </w:pPr>
    </w:p>
    <w:p w14:paraId="0E827647">
      <w:pPr>
        <w:spacing w:line="500" w:lineRule="exact"/>
        <w:jc w:val="center"/>
        <w:rPr>
          <w:rFonts w:hint="eastAsia" w:asciiTheme="minorEastAsia" w:hAnsiTheme="minorEastAsia" w:eastAsiaTheme="minorEastAsia" w:cstheme="minorEastAsia"/>
          <w:b/>
          <w:bCs/>
          <w:sz w:val="28"/>
          <w:szCs w:val="28"/>
        </w:rPr>
      </w:pPr>
    </w:p>
    <w:p w14:paraId="656AFE28">
      <w:pPr>
        <w:spacing w:line="5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第二章  比选方案</w:t>
      </w:r>
    </w:p>
    <w:p w14:paraId="2266415B">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宁德职业技术学院总建筑面积约112522㎡。学校建筑包括教学楼、办公楼、宿舍楼、食堂等共23栋消防设施需维护保养和不定期叫修服务，采用邀请比选方式选定服务商，现将有关事宜公告如下：</w:t>
      </w:r>
    </w:p>
    <w:p w14:paraId="01A9E30E">
      <w:pPr>
        <w:spacing w:line="500" w:lineRule="exact"/>
        <w:ind w:firstLine="63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一、比选项目概况</w:t>
      </w:r>
    </w:p>
    <w:p w14:paraId="70070597">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1.业主方名称：</w:t>
      </w:r>
      <w:r>
        <w:rPr>
          <w:rFonts w:hint="eastAsia" w:asciiTheme="minorEastAsia" w:hAnsiTheme="minorEastAsia" w:eastAsiaTheme="minorEastAsia" w:cstheme="minorEastAsia"/>
          <w:sz w:val="28"/>
          <w:szCs w:val="28"/>
          <w:u w:val="single"/>
        </w:rPr>
        <w:t>宁德职业技术学院      ；</w:t>
      </w:r>
    </w:p>
    <w:p w14:paraId="161F640C">
      <w:pPr>
        <w:spacing w:line="500" w:lineRule="exact"/>
        <w:ind w:left="2629" w:leftChars="304" w:hanging="1960" w:hangingChars="7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2.项目名称：</w:t>
      </w:r>
      <w:r>
        <w:rPr>
          <w:rFonts w:hint="eastAsia" w:asciiTheme="minorEastAsia" w:hAnsiTheme="minorEastAsia" w:eastAsiaTheme="minorEastAsia" w:cstheme="minorEastAsia"/>
          <w:sz w:val="28"/>
          <w:szCs w:val="28"/>
          <w:u w:val="single"/>
        </w:rPr>
        <w:t>宁德职业技术学院消防维保；</w:t>
      </w:r>
    </w:p>
    <w:p w14:paraId="1C861D1D">
      <w:pPr>
        <w:spacing w:line="500" w:lineRule="exact"/>
        <w:ind w:left="2629" w:leftChars="304" w:hanging="1960" w:hangingChars="7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3.项目地址：</w:t>
      </w:r>
      <w:r>
        <w:rPr>
          <w:rFonts w:hint="eastAsia" w:asciiTheme="minorEastAsia" w:hAnsiTheme="minorEastAsia" w:eastAsiaTheme="minorEastAsia" w:cstheme="minorEastAsia"/>
          <w:sz w:val="28"/>
          <w:szCs w:val="28"/>
          <w:u w:val="single"/>
        </w:rPr>
        <w:t>福安市宁德职业技术学院内；</w:t>
      </w:r>
    </w:p>
    <w:p w14:paraId="3A7539B7">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4.服务项目：教学楼、办公楼、宿舍楼、食堂等共23栋消防维护保养服务；</w:t>
      </w:r>
    </w:p>
    <w:p w14:paraId="53619B13">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5.服务内容：教学楼、办公楼、宿舍楼、食堂等共23栋消防维护保养服务，服务期限为1+1年；</w:t>
      </w:r>
    </w:p>
    <w:p w14:paraId="5AEB11E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6.付款方式：按季度验收，验收合格后中标方开具正规含税发票，采购方通过银行转账方式支付合同款的25%。</w:t>
      </w:r>
    </w:p>
    <w:p w14:paraId="4B9013B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7.中标方与采购方签订合同后7个工作日内，需向采购方指定账户缴纳合同总额5％的履约保证金，合同期满后无息退还。</w:t>
      </w:r>
    </w:p>
    <w:p w14:paraId="1A3DFFAE">
      <w:pPr>
        <w:spacing w:line="50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二、参选单位资格要求</w:t>
      </w:r>
    </w:p>
    <w:p w14:paraId="527878B8">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1、须具有经合格有效的企业法人营业执照；</w:t>
      </w:r>
    </w:p>
    <w:p w14:paraId="11D0AE09">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2、须具有独立法人资格和相应经营范围；</w:t>
      </w:r>
    </w:p>
    <w:p w14:paraId="44721EC1">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3、具备履行合同所必需的设备和专业技术能力；</w:t>
      </w:r>
    </w:p>
    <w:p w14:paraId="647E7821">
      <w:pPr>
        <w:pStyle w:val="6"/>
        <w:widowControl/>
        <w:shd w:val="clear" w:color="auto" w:fill="FFFFFF"/>
        <w:spacing w:before="0" w:beforeAutospacing="0" w:after="0" w:afterAutospacing="0"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被列入失信被执行人、重大税收违法案件当事人名单、采购严重违法失信行为记录名单且禁止进入政府市场的处罚还在有效期内的服务商不得参与本次采购活动。相关主体信用记录以“信用中国”网站（www.creditchina.gov.cn）网站查询结果为准。</w:t>
      </w:r>
    </w:p>
    <w:p w14:paraId="714121C5">
      <w:pPr>
        <w:spacing w:line="50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三、参选文件编制</w:t>
      </w:r>
    </w:p>
    <w:p w14:paraId="5D103494">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1.法定代表人资格证明书</w:t>
      </w:r>
    </w:p>
    <w:p w14:paraId="581BD59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2.法人代表人授权委托书</w:t>
      </w:r>
    </w:p>
    <w:p w14:paraId="55F090DD">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3.信誉承诺</w:t>
      </w:r>
    </w:p>
    <w:p w14:paraId="4AC212E5">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4.报价函承诺书</w:t>
      </w:r>
    </w:p>
    <w:p w14:paraId="16D4ED85">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5.具备履行合同所必需设备和专业技术能力声明函</w:t>
      </w:r>
    </w:p>
    <w:p w14:paraId="799F13CC">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6.合格有效的企业法人营业执照副本复印件</w:t>
      </w:r>
    </w:p>
    <w:p w14:paraId="4FF133F9">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7.其他材料</w:t>
      </w:r>
    </w:p>
    <w:p w14:paraId="72F63C80">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8.消防维保考核表</w:t>
      </w:r>
    </w:p>
    <w:p w14:paraId="5F231C59">
      <w:pPr>
        <w:spacing w:line="50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以上材料应装订成册，所涉及的复印件均需加盖单位公章。</w:t>
      </w:r>
    </w:p>
    <w:p w14:paraId="545E9D75">
      <w:pPr>
        <w:spacing w:line="500" w:lineRule="exact"/>
        <w:ind w:left="63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四、确定中选单位</w:t>
      </w:r>
    </w:p>
    <w:p w14:paraId="1ADB8047">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比选文件评审合格且下浮率报价最高的参选单位为第一候选人，依次类推选择第二、第三中标候选人。当出现二个或二个以上参选单位的投标报价相同时，由比选人随机抽取。</w:t>
      </w:r>
      <w:bookmarkStart w:id="1" w:name="_bookmark2"/>
      <w:bookmarkEnd w:id="1"/>
    </w:p>
    <w:p w14:paraId="1728DDDE">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五、消防维保工作要求和内容</w:t>
      </w:r>
    </w:p>
    <w:p w14:paraId="0D9603A7">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1.自动报警系统</w:t>
      </w:r>
    </w:p>
    <w:p w14:paraId="6228253B">
      <w:pPr>
        <w:pStyle w:val="16"/>
        <w:spacing w:line="500" w:lineRule="exact"/>
        <w:ind w:left="588" w:leftChars="209" w:hanging="128" w:hangingChars="4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1.1维护内容：</w:t>
      </w:r>
    </w:p>
    <w:p w14:paraId="0CE7CEF5">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各信号线路及线路保护管道维护。</w:t>
      </w:r>
    </w:p>
    <w:p w14:paraId="11BC5B50">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控制器的基本功能试验，包括控制器的开机、液晶和数码管的显示、主备电的工作、显示和声音、打印、时钟、记录等。</w:t>
      </w:r>
    </w:p>
    <w:p w14:paraId="2A83E813">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查控制器的点名、报火警、报故障功能。</w:t>
      </w:r>
    </w:p>
    <w:p w14:paraId="32260593">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探测器的报警试验，包括感烟、感温等所有类型探测器的试验，试验工具符合检测要求。</w:t>
      </w:r>
    </w:p>
    <w:p w14:paraId="7DCD65F5">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手报报警按钮的撤警试验</w:t>
      </w:r>
    </w:p>
    <w:p w14:paraId="759779AA">
      <w:pPr>
        <w:pStyle w:val="16"/>
        <w:spacing w:line="500" w:lineRule="exact"/>
        <w:ind w:left="440" w:leftChars="20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1.2工作计划：每月检测一次。</w:t>
      </w:r>
    </w:p>
    <w:p w14:paraId="66777CCE">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2.自动喷淋系统</w:t>
      </w:r>
    </w:p>
    <w:p w14:paraId="339394C0">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2.1维护内容：</w:t>
      </w:r>
    </w:p>
    <w:p w14:paraId="4312EAB0">
      <w:pPr>
        <w:pStyle w:val="16"/>
        <w:numPr>
          <w:ilvl w:val="0"/>
          <w:numId w:val="5"/>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外观检查。检测消防泵房工作环境及喷淋泵、稳压设备、电源控制柜、湿式报警阀、喷头、水泵接合器、储水设施是否处于完好状态。</w:t>
      </w:r>
    </w:p>
    <w:p w14:paraId="353BE7A4">
      <w:pPr>
        <w:pStyle w:val="16"/>
        <w:numPr>
          <w:ilvl w:val="0"/>
          <w:numId w:val="5"/>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功能试验。在控制柜及消防控制中心启动喷淋泵，同时试验主备泵的切换功能：利用报警阀的放水试验阀试验压力开关、水力警铃的工作情况；利用末端放水装置放水，验证水流指示器、湿式报警阀功能，自动启泵功能。</w:t>
      </w:r>
    </w:p>
    <w:p w14:paraId="7CE4EE2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2.2工作计划：每月测试一次。</w:t>
      </w:r>
    </w:p>
    <w:p w14:paraId="6F9082D8">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3.消火栓系统</w:t>
      </w:r>
    </w:p>
    <w:p w14:paraId="363EA0EC">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3.1维护内容：</w:t>
      </w:r>
    </w:p>
    <w:p w14:paraId="0B243363">
      <w:pPr>
        <w:pStyle w:val="16"/>
        <w:numPr>
          <w:ilvl w:val="0"/>
          <w:numId w:val="6"/>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外观检测。检测室内外消火栓给水管道、消防水池／水箱／稳压装置、消火栓水枪及水带、消火栓按钮、消防水泵及各类管网阀门等是否正常。</w:t>
      </w:r>
    </w:p>
    <w:p w14:paraId="0BFAB730">
      <w:pPr>
        <w:pStyle w:val="16"/>
        <w:numPr>
          <w:ilvl w:val="0"/>
          <w:numId w:val="6"/>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消防泵启动功能试验。在泵房控制柜、消防中心、现场消火栓按钮上启动消防泵，查看消防泵启动情况。</w:t>
      </w:r>
    </w:p>
    <w:p w14:paraId="00077A77">
      <w:pPr>
        <w:pStyle w:val="16"/>
        <w:numPr>
          <w:ilvl w:val="0"/>
          <w:numId w:val="6"/>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模拟实际喷水试验。接好水枪，做好准备工作，开始试验，检查水的压力及查看是否有漏水情况。</w:t>
      </w:r>
    </w:p>
    <w:p w14:paraId="4D731D5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3.2工作计划：每季度一次</w:t>
      </w:r>
    </w:p>
    <w:p w14:paraId="507D7DC5">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4.防排烟系统</w:t>
      </w:r>
    </w:p>
    <w:p w14:paraId="5EFE4774">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4.1维护内容：</w:t>
      </w:r>
    </w:p>
    <w:p w14:paraId="66802817">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（1）排烟阀、送风阀及手动的启动。</w:t>
      </w:r>
    </w:p>
    <w:p w14:paraId="0BAA9641">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（2）排烟风机、送风机的启动和停动。</w:t>
      </w:r>
    </w:p>
    <w:p w14:paraId="4B8F4897">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（3）空调、新风机的停动。</w:t>
      </w:r>
    </w:p>
    <w:p w14:paraId="33E1269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4.2工作计划：每月检测一次．</w:t>
      </w:r>
    </w:p>
    <w:p w14:paraId="30597B39">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5.应急照明及疏散系统</w:t>
      </w:r>
    </w:p>
    <w:p w14:paraId="03801A40">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5.1维护内容：</w:t>
      </w:r>
    </w:p>
    <w:p w14:paraId="67C42086">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检查各种消防应急照明，消防应急标志及疏散标志牌的功能。功能包括正常指示、切换功能。</w:t>
      </w:r>
    </w:p>
    <w:p w14:paraId="67BB7106">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5.2工作计划：每月检测一次</w:t>
      </w:r>
    </w:p>
    <w:p w14:paraId="2C5F2ACC">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6.消防电源及配电装置</w:t>
      </w:r>
    </w:p>
    <w:p w14:paraId="2DF21647">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6.1维护内容：</w:t>
      </w:r>
    </w:p>
    <w:p w14:paraId="1104F75B">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（1）非消防电源的切换及消防电源的投入。</w:t>
      </w:r>
    </w:p>
    <w:p w14:paraId="3B3C1D41">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（2）在控制中心手动试验。</w:t>
      </w:r>
    </w:p>
    <w:p w14:paraId="6B897B1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6.2工作计划：每季度一次。</w:t>
      </w:r>
    </w:p>
    <w:p w14:paraId="3648BA7C">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7.消防广播系统</w:t>
      </w:r>
    </w:p>
    <w:p w14:paraId="2CB120AE">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7.1维护内容：</w:t>
      </w:r>
    </w:p>
    <w:p w14:paraId="2B50D505">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（1）检查紧急广播的放音及切换功能。放音包括通过话筒、磁带等方式放音，检查声音的大小。切换功能指每个区是否都能正常切换。</w:t>
      </w:r>
    </w:p>
    <w:p w14:paraId="01398395">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（2）检查消防电话的通话功能。包括固定电话机电话插孔的检查。</w:t>
      </w:r>
    </w:p>
    <w:p w14:paraId="6F2FB60C">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7.2工作计划：每月测试一次。</w:t>
      </w:r>
    </w:p>
    <w:p w14:paraId="70DB76FE">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8.灭火器维护</w:t>
      </w:r>
    </w:p>
    <w:p w14:paraId="6F7DB352">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8.1维护内容：检查灭火器有效期、表盘、指针，灭火器外观、型号等；试验灭火器的喷射功能是否正常。</w:t>
      </w:r>
    </w:p>
    <w:p w14:paraId="7720873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8.2工作计划：每月测试一次。</w:t>
      </w:r>
    </w:p>
    <w:p w14:paraId="0767C65A">
      <w:pPr>
        <w:pStyle w:val="16"/>
        <w:spacing w:line="500" w:lineRule="exact"/>
        <w:ind w:left="565" w:leftChars="198" w:hanging="129" w:hangingChars="4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六、其他要求</w:t>
      </w:r>
    </w:p>
    <w:p w14:paraId="4210C864">
      <w:pPr>
        <w:pStyle w:val="16"/>
        <w:spacing w:line="500" w:lineRule="exact"/>
        <w:ind w:lef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1.中标方须派至少两人熟悉消防安全的持证工作人员，负责校内消防设施、设备的维护、管理、检查、整理资料等工作。参与人员必须具有作业人员上岗证书及消防员证，人证合一，锁证锁人，设专人进行现场监管。拆卸、搬迁和安装过程中，不得损坏其它公共设施及个人财产。</w:t>
      </w:r>
    </w:p>
    <w:p w14:paraId="69888272">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维保过程中，必须坚持“以修为主”的原则，确需更换零件时，中标方应及时写出书面说明，由双方共同论证确定，待学校认可后方可实施。100元以上由采购人甲方确认后负责购置，100元以下由中标方（乙方）负责购置。</w:t>
      </w:r>
    </w:p>
    <w:p w14:paraId="168F965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3.中标方需认真做好消防设施资料的建档工作，做好维保日志，建立健全各类消防维保管理台帐，并及时予以更新，按消防部门要求及时上报相关材料，有义务协助校方做好规范的消防档案建设。</w:t>
      </w:r>
    </w:p>
    <w:p w14:paraId="025B293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4.中标方有责任和义务配合学校及上级主管部门组织的消防检查、测试、上报材料等工作。</w:t>
      </w:r>
    </w:p>
    <w:p w14:paraId="06FDE4A2">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5.中标方应认真执行和全面落实国家建筑消防安全法律法规，认真服从消防管理部门的技术指导，并承担相应的消防责任。</w:t>
      </w:r>
    </w:p>
    <w:p w14:paraId="23084F2B">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6.中标方需每月把工作情况书面报表向采购方（甲方）汇报，出具维护报告书。</w:t>
      </w:r>
    </w:p>
    <w:p w14:paraId="779406AD">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七、安全责任</w:t>
      </w:r>
    </w:p>
    <w:p w14:paraId="44862B5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中标方应对派驻校方的工作人员进行维保安全生产教育，并自带专业工具，严格规范操作，做好安全防范措施，做到安全文明施工。如因中标方的维保人员违规操作，造成采购方消防设施设备损坏，中标方必须照价赔偿并负责处理好善后工作，直至甲方的消防设施设备正常运转。</w:t>
      </w:r>
    </w:p>
    <w:p w14:paraId="2940E58B">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方对参与本项目的所有员工的人身安全负全责。如在维保过程中，凡因中标方责任造成的任何事故，均由中标方承担全部责任，赔偿一切经济损失，与学校无关。中标方要做到合法用工，工作人员相关证件齐全，如中标方违法用工造成的损失由中标方承担。</w:t>
      </w:r>
    </w:p>
    <w:p w14:paraId="63B17FEA">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3.在合同期间中标方对学校的消防安全设备应负全部责任。</w:t>
      </w:r>
    </w:p>
    <w:p w14:paraId="5BBFF3F1">
      <w:pPr>
        <w:pStyle w:val="16"/>
        <w:spacing w:line="500" w:lineRule="exact"/>
        <w:ind w:left="0"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八、违约责任</w:t>
      </w:r>
    </w:p>
    <w:p w14:paraId="371FDDED">
      <w:pPr>
        <w:pStyle w:val="16"/>
        <w:spacing w:line="500" w:lineRule="exact"/>
        <w:ind w:left="0"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1.甲乙双方不得无故终止合同。</w:t>
      </w:r>
    </w:p>
    <w:p w14:paraId="30776DAE">
      <w:pPr>
        <w:pStyle w:val="16"/>
        <w:spacing w:line="500" w:lineRule="exact"/>
        <w:ind w:left="0"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若因乙方未按维保要求进行服务造成消防设施设备故障，并进而导致消防事故或隐患未第一时间消除的，甲方因此造成的人身伤亡或财产损失，由乙方承担赔偿责任。若甲方被任何第三方（包含甲方师生在内）追索并承担责任的，甲方有权向乙方追偿。</w:t>
      </w:r>
    </w:p>
    <w:p w14:paraId="5E495012">
      <w:pPr>
        <w:pStyle w:val="16"/>
        <w:spacing w:line="500" w:lineRule="exact"/>
        <w:ind w:left="0"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3.若乙方连续三次未按招标要求及时响应或维护不到位导致设施设备无法正常运行，甲方有权单方无责解除合同。合同期内给甲方带来的损失由乙方承担。</w:t>
      </w:r>
    </w:p>
    <w:p w14:paraId="5D62BBB6">
      <w:pPr>
        <w:pStyle w:val="16"/>
        <w:spacing w:line="500" w:lineRule="exact"/>
        <w:ind w:left="0"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4.若甲方季度验收不合格的，甲方有权拒付当季度的维保检测费，如果连续两个季度验收不合格或合同期内累计三个季度验收不合格，甲方有权解除合同，并没收乙方履约保证金。</w:t>
      </w:r>
    </w:p>
    <w:p w14:paraId="6A5F1471">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九</w:t>
      </w:r>
      <w:r>
        <w:rPr>
          <w:rFonts w:hint="eastAsia" w:asciiTheme="minorEastAsia" w:hAnsiTheme="minorEastAsia" w:eastAsiaTheme="minorEastAsia" w:cstheme="minorEastAsia"/>
          <w:b/>
          <w:bCs/>
          <w:sz w:val="28"/>
          <w:szCs w:val="28"/>
        </w:rPr>
        <w:t>、争议解决</w:t>
      </w:r>
    </w:p>
    <w:p w14:paraId="7F7645DA">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若因执行合同发生争议，或因合同发生的其他争议，双方应当友好协商解决，协商不成的，均可向福安市人民法院起诉。</w:t>
      </w:r>
    </w:p>
    <w:p w14:paraId="2E24DF93">
      <w:pPr>
        <w:pStyle w:val="16"/>
        <w:ind w:left="0" w:firstLine="560" w:firstLineChars="200"/>
        <w:rPr>
          <w:rFonts w:hint="eastAsia" w:asciiTheme="minorEastAsia" w:hAnsiTheme="minorEastAsia" w:eastAsiaTheme="minorEastAsia" w:cstheme="minorEastAsia"/>
          <w:sz w:val="28"/>
          <w:szCs w:val="28"/>
        </w:rPr>
      </w:pPr>
    </w:p>
    <w:p w14:paraId="39B98E09">
      <w:pPr>
        <w:pStyle w:val="16"/>
        <w:ind w:left="0" w:leftChars="0" w:firstLine="0" w:firstLineChars="0"/>
        <w:rPr>
          <w:rFonts w:hint="eastAsia"/>
          <w:sz w:val="32"/>
          <w:szCs w:val="32"/>
        </w:rPr>
      </w:pPr>
    </w:p>
    <w:p w14:paraId="3D0CAD69">
      <w:pPr>
        <w:pStyle w:val="16"/>
        <w:ind w:left="0" w:firstLine="0"/>
        <w:rPr>
          <w:rFonts w:hint="eastAsia"/>
          <w:sz w:val="32"/>
          <w:szCs w:val="32"/>
        </w:rPr>
      </w:pPr>
    </w:p>
    <w:p w14:paraId="7C6124A4">
      <w:pPr>
        <w:pStyle w:val="16"/>
        <w:ind w:left="583" w:leftChars="198" w:hanging="147" w:hangingChars="46"/>
        <w:rPr>
          <w:rFonts w:hint="eastAsia" w:asciiTheme="minorEastAsia" w:hAnsiTheme="minorEastAsia" w:eastAsiaTheme="minorEastAsia" w:cstheme="minorEastAsia"/>
          <w:sz w:val="32"/>
          <w:szCs w:val="32"/>
        </w:rPr>
      </w:pPr>
    </w:p>
    <w:p w14:paraId="6E7113A8">
      <w:pPr>
        <w:pStyle w:val="2"/>
        <w:numPr>
          <w:ilvl w:val="0"/>
          <w:numId w:val="0"/>
        </w:numPr>
        <w:rPr>
          <w:rFonts w:hint="eastAsia"/>
        </w:rPr>
      </w:pPr>
    </w:p>
    <w:sectPr>
      <w:footerReference r:id="rId5" w:type="default"/>
      <w:footerReference r:id="rId6"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CFC0">
    <w:pPr>
      <w:pStyle w:val="3"/>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7345B982">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7345B982">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48EE">
    <w:pPr>
      <w:pStyle w:val="3"/>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7181FE34">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7181FE34">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9484">
    <w:pPr>
      <w:pStyle w:val="3"/>
      <w:spacing w:line="14" w:lineRule="auto"/>
      <w:rPr>
        <w:rFonts w:hint="eastAsia"/>
        <w:sz w:val="2"/>
      </w:rPr>
    </w:pPr>
    <w:r>
      <mc:AlternateContent>
        <mc:Choice Requires="wps">
          <w:drawing>
            <wp:anchor distT="0" distB="0" distL="114300" distR="114300" simplePos="0" relativeHeight="251661312"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6718E52A">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5168;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6718E52A">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FD8F">
    <w:pPr>
      <w:pStyle w:val="3"/>
      <w:spacing w:line="14" w:lineRule="auto"/>
      <w:rPr>
        <w:rFonts w:hint="eastAsia"/>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7DFB"/>
    <w:multiLevelType w:val="singleLevel"/>
    <w:tmpl w:val="85D97DFB"/>
    <w:lvl w:ilvl="0" w:tentative="0">
      <w:start w:val="5"/>
      <w:numFmt w:val="chineseCounting"/>
      <w:suff w:val="nothing"/>
      <w:lvlText w:val="%1、"/>
      <w:lvlJc w:val="left"/>
      <w:rPr>
        <w:rFonts w:hint="eastAsia"/>
      </w:rPr>
    </w:lvl>
  </w:abstractNum>
  <w:abstractNum w:abstractNumId="1">
    <w:nsid w:val="956C9E37"/>
    <w:multiLevelType w:val="singleLevel"/>
    <w:tmpl w:val="956C9E37"/>
    <w:lvl w:ilvl="0" w:tentative="0">
      <w:start w:val="1"/>
      <w:numFmt w:val="chineseCounting"/>
      <w:suff w:val="space"/>
      <w:lvlText w:val="第%1章"/>
      <w:lvlJc w:val="left"/>
      <w:rPr>
        <w:rFonts w:hint="eastAsia"/>
      </w:rPr>
    </w:lvl>
  </w:abstractNum>
  <w:abstractNum w:abstractNumId="2">
    <w:nsid w:val="ABD770F4"/>
    <w:multiLevelType w:val="singleLevel"/>
    <w:tmpl w:val="ABD770F4"/>
    <w:lvl w:ilvl="0" w:tentative="0">
      <w:start w:val="1"/>
      <w:numFmt w:val="decimal"/>
      <w:suff w:val="nothing"/>
      <w:lvlText w:val="（%1）"/>
      <w:lvlJc w:val="left"/>
    </w:lvl>
  </w:abstractNum>
  <w:abstractNum w:abstractNumId="3">
    <w:nsid w:val="B4229AB6"/>
    <w:multiLevelType w:val="singleLevel"/>
    <w:tmpl w:val="B4229AB6"/>
    <w:lvl w:ilvl="0" w:tentative="0">
      <w:start w:val="1"/>
      <w:numFmt w:val="decimal"/>
      <w:suff w:val="nothing"/>
      <w:lvlText w:val="（%1）"/>
      <w:lvlJc w:val="left"/>
    </w:lvl>
  </w:abstractNum>
  <w:abstractNum w:abstractNumId="4">
    <w:nsid w:val="0000000B"/>
    <w:multiLevelType w:val="singleLevel"/>
    <w:tmpl w:val="0000000B"/>
    <w:lvl w:ilvl="0" w:tentative="0">
      <w:start w:val="1"/>
      <w:numFmt w:val="decimal"/>
      <w:pStyle w:val="2"/>
      <w:lvlText w:val="%1."/>
      <w:lvlJc w:val="left"/>
      <w:pPr>
        <w:tabs>
          <w:tab w:val="left" w:pos="425"/>
        </w:tabs>
        <w:ind w:left="425" w:hanging="425"/>
      </w:pPr>
      <w:rPr>
        <w:rFonts w:hint="eastAsia"/>
      </w:rPr>
    </w:lvl>
  </w:abstractNum>
  <w:abstractNum w:abstractNumId="5">
    <w:nsid w:val="4802BE0F"/>
    <w:multiLevelType w:val="singleLevel"/>
    <w:tmpl w:val="4802BE0F"/>
    <w:lvl w:ilvl="0" w:tentative="0">
      <w:start w:val="1"/>
      <w:numFmt w:val="decimal"/>
      <w:suff w:val="nothing"/>
      <w:lvlText w:val="（%1）"/>
      <w:lvlJc w:val="left"/>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0113F"/>
    <w:rsid w:val="00321F02"/>
    <w:rsid w:val="00336483"/>
    <w:rsid w:val="00407642"/>
    <w:rsid w:val="0054262C"/>
    <w:rsid w:val="00565ABE"/>
    <w:rsid w:val="006126EA"/>
    <w:rsid w:val="00652DA2"/>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08C2131C"/>
    <w:rsid w:val="0A461057"/>
    <w:rsid w:val="0AC478FA"/>
    <w:rsid w:val="0AE4604C"/>
    <w:rsid w:val="0CE916F8"/>
    <w:rsid w:val="0ED80526"/>
    <w:rsid w:val="1004733D"/>
    <w:rsid w:val="13E13A8A"/>
    <w:rsid w:val="13EF4742"/>
    <w:rsid w:val="14F10094"/>
    <w:rsid w:val="178F3B0E"/>
    <w:rsid w:val="19A55291"/>
    <w:rsid w:val="1A6E409D"/>
    <w:rsid w:val="1ACE7DEE"/>
    <w:rsid w:val="1D4A0241"/>
    <w:rsid w:val="1DE55F0B"/>
    <w:rsid w:val="1E6C0A54"/>
    <w:rsid w:val="211D2ACC"/>
    <w:rsid w:val="21A954A2"/>
    <w:rsid w:val="23D63116"/>
    <w:rsid w:val="26A57234"/>
    <w:rsid w:val="27B970E2"/>
    <w:rsid w:val="29537081"/>
    <w:rsid w:val="29B77727"/>
    <w:rsid w:val="2B8A0784"/>
    <w:rsid w:val="2B8B77FD"/>
    <w:rsid w:val="2FFC3ECE"/>
    <w:rsid w:val="302C7224"/>
    <w:rsid w:val="31A67E9A"/>
    <w:rsid w:val="32313149"/>
    <w:rsid w:val="37577894"/>
    <w:rsid w:val="38290394"/>
    <w:rsid w:val="3BF86CB1"/>
    <w:rsid w:val="3F850EA5"/>
    <w:rsid w:val="41077087"/>
    <w:rsid w:val="43C31A60"/>
    <w:rsid w:val="464F02B0"/>
    <w:rsid w:val="4B35003F"/>
    <w:rsid w:val="4E386B6D"/>
    <w:rsid w:val="50F41201"/>
    <w:rsid w:val="523C1DAD"/>
    <w:rsid w:val="54820702"/>
    <w:rsid w:val="55E00330"/>
    <w:rsid w:val="585336FE"/>
    <w:rsid w:val="597B6865"/>
    <w:rsid w:val="5E4A2CDD"/>
    <w:rsid w:val="5F7768AC"/>
    <w:rsid w:val="634C513D"/>
    <w:rsid w:val="65CC4B32"/>
    <w:rsid w:val="66F12E0D"/>
    <w:rsid w:val="696A4500"/>
    <w:rsid w:val="6B9B729F"/>
    <w:rsid w:val="6BC85AE9"/>
    <w:rsid w:val="6DB53DEA"/>
    <w:rsid w:val="6EA0512F"/>
    <w:rsid w:val="6F1D05CE"/>
    <w:rsid w:val="6F3F2161"/>
    <w:rsid w:val="708E3B5D"/>
    <w:rsid w:val="724C49FA"/>
    <w:rsid w:val="733777E5"/>
    <w:rsid w:val="7475174F"/>
    <w:rsid w:val="771816DB"/>
    <w:rsid w:val="77620912"/>
    <w:rsid w:val="7A6619D4"/>
    <w:rsid w:val="7DAB5338"/>
    <w:rsid w:val="7DF62256"/>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en-US" w:eastAsia="zh-CN" w:bidi="ar-SA"/>
    </w:rPr>
  </w:style>
  <w:style w:type="paragraph" w:styleId="2">
    <w:name w:val="heading 3"/>
    <w:basedOn w:val="1"/>
    <w:next w:val="1"/>
    <w:qFormat/>
    <w:uiPriority w:val="0"/>
    <w:pPr>
      <w:keepNext/>
      <w:keepLines/>
      <w:numPr>
        <w:ilvl w:val="0"/>
        <w:numId w:val="1"/>
      </w:numPr>
      <w:tabs>
        <w:tab w:val="left" w:pos="5852"/>
        <w:tab w:val="clear" w:pos="425"/>
      </w:tabs>
      <w:snapToGrid w:val="0"/>
      <w:spacing w:before="360" w:line="240" w:lineRule="exact"/>
      <w:outlineLvl w:val="2"/>
    </w:pPr>
    <w:rPr>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9"/>
    <w:unhideWhenUsed/>
    <w:qFormat/>
    <w:uiPriority w:val="99"/>
    <w:pPr>
      <w:tabs>
        <w:tab w:val="center" w:pos="4153"/>
        <w:tab w:val="right" w:pos="8306"/>
      </w:tabs>
      <w:snapToGrid w:val="0"/>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cs="Times New Roman"/>
      <w:sz w:val="24"/>
    </w:rPr>
  </w:style>
  <w:style w:type="paragraph" w:styleId="7">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3">
    <w:name w:val="标题 21"/>
    <w:basedOn w:val="1"/>
    <w:qFormat/>
    <w:uiPriority w:val="1"/>
    <w:pPr>
      <w:spacing w:before="11"/>
      <w:ind w:left="749"/>
      <w:jc w:val="center"/>
      <w:outlineLvl w:val="2"/>
    </w:pPr>
    <w:rPr>
      <w:b/>
      <w:bCs/>
      <w:sz w:val="44"/>
      <w:szCs w:val="44"/>
    </w:rPr>
  </w:style>
  <w:style w:type="paragraph" w:customStyle="1" w:styleId="14">
    <w:name w:val="标题 31"/>
    <w:basedOn w:val="1"/>
    <w:qFormat/>
    <w:uiPriority w:val="1"/>
    <w:pPr>
      <w:spacing w:before="38"/>
      <w:ind w:right="1"/>
      <w:jc w:val="center"/>
      <w:outlineLvl w:val="3"/>
    </w:pPr>
    <w:rPr>
      <w:sz w:val="44"/>
      <w:szCs w:val="44"/>
    </w:rPr>
  </w:style>
  <w:style w:type="paragraph" w:customStyle="1" w:styleId="15">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6">
    <w:name w:val="List Paragraph"/>
    <w:basedOn w:val="1"/>
    <w:qFormat/>
    <w:uiPriority w:val="1"/>
    <w:pPr>
      <w:spacing w:before="149"/>
      <w:ind w:left="640" w:hanging="323"/>
    </w:pPr>
  </w:style>
  <w:style w:type="paragraph" w:customStyle="1" w:styleId="17">
    <w:name w:val="Table Paragraph"/>
    <w:basedOn w:val="1"/>
    <w:qFormat/>
    <w:uiPriority w:val="1"/>
  </w:style>
  <w:style w:type="character" w:customStyle="1" w:styleId="18">
    <w:name w:val="页眉 字符"/>
    <w:basedOn w:val="10"/>
    <w:link w:val="5"/>
    <w:qFormat/>
    <w:uiPriority w:val="99"/>
    <w:rPr>
      <w:rFonts w:ascii="仿宋_GB2312" w:hAnsi="仿宋_GB2312" w:eastAsia="仿宋_GB2312" w:cs="仿宋_GB2312"/>
      <w:sz w:val="18"/>
      <w:szCs w:val="18"/>
      <w:lang w:eastAsia="zh-CN"/>
    </w:rPr>
  </w:style>
  <w:style w:type="character" w:customStyle="1" w:styleId="19">
    <w:name w:val="页脚 字符"/>
    <w:basedOn w:val="10"/>
    <w:link w:val="4"/>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3451</Words>
  <Characters>3631</Characters>
  <Lines>34</Lines>
  <Paragraphs>9</Paragraphs>
  <TotalTime>48</TotalTime>
  <ScaleCrop>false</ScaleCrop>
  <LinksUpToDate>false</LinksUpToDate>
  <CharactersWithSpaces>3701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米嘎迦</cp:lastModifiedBy>
  <cp:lastPrinted>2025-11-11T06:53:00Z</cp:lastPrinted>
  <dcterms:modified xsi:type="dcterms:W3CDTF">2025-11-28T01:10:28Z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eyJoZGlkIjoiNjlhYzUxYjlmM2IyNTk4ZDJhYmY1MWFmNDk1MmFiZjgiLCJ1c2VySWQiOiIxMTU3ODE1MTU2In0=</vt:lpwstr>
  </property>
  <property fmtid="{D5CDD505-2E9C-101B-9397-08002B2CF9AE}" pid="6" name="KSOProductBuildVer">
    <vt:lpwstr>2052-12.1.0.23542</vt:lpwstr>
  </property>
  <property fmtid="{D5CDD505-2E9C-101B-9397-08002B2CF9AE}" pid="7" name="ICV">
    <vt:lpwstr>04CBE540543B4626AE4C56FA8CE50D96_13</vt:lpwstr>
  </property>
</Properties>
</file>