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C331A7">
      <w:pPr>
        <w:bidi w:val="0"/>
        <w:jc w:val="center"/>
        <w:rPr>
          <w:rFonts w:hint="eastAsia"/>
          <w:b/>
          <w:bCs/>
          <w:sz w:val="40"/>
          <w:szCs w:val="32"/>
          <w:rtl w:val="0"/>
          <w:lang w:val="en-US" w:eastAsia="zh-CN"/>
        </w:rPr>
      </w:pPr>
    </w:p>
    <w:p w14:paraId="3A688E63">
      <w:pPr>
        <w:bidi w:val="0"/>
        <w:jc w:val="center"/>
        <w:rPr>
          <w:rFonts w:hint="eastAsia"/>
          <w:b/>
          <w:bCs/>
          <w:sz w:val="40"/>
          <w:szCs w:val="32"/>
          <w:rtl w:val="0"/>
          <w:lang w:val="en-US" w:eastAsia="zh-CN"/>
        </w:rPr>
      </w:pPr>
      <w:r>
        <w:rPr>
          <w:rFonts w:hint="eastAsia"/>
          <w:b/>
          <w:bCs/>
          <w:sz w:val="40"/>
          <w:szCs w:val="32"/>
          <w:rtl w:val="0"/>
          <w:lang w:val="en-US" w:eastAsia="zh-CN"/>
        </w:rPr>
        <w:t>科学导航操作手册</w:t>
      </w:r>
    </w:p>
    <w:p w14:paraId="76F3137D">
      <w:pPr>
        <w:bidi w:val="0"/>
        <w:rPr>
          <w:rFonts w:hint="eastAsia"/>
          <w:rtl w:val="0"/>
          <w:lang w:val="en-US" w:eastAsia="zh-CN"/>
        </w:rPr>
      </w:pPr>
    </w:p>
    <w:p w14:paraId="53DB86E6">
      <w:pPr>
        <w:bidi w:val="0"/>
        <w:rPr>
          <w:rFonts w:hint="eastAsia"/>
          <w:rtl w:val="0"/>
          <w:lang w:val="en-US" w:eastAsia="zh-CN"/>
        </w:rPr>
      </w:pPr>
    </w:p>
    <w:p w14:paraId="4D03BAE3">
      <w:pPr>
        <w:bidi w:val="0"/>
        <w:rPr>
          <w:rFonts w:hint="eastAsia"/>
          <w:rtl w:val="0"/>
          <w:lang w:val="en-US" w:eastAsia="zh-CN"/>
        </w:rPr>
      </w:pPr>
    </w:p>
    <w:p w14:paraId="1D4F6F85">
      <w:pPr>
        <w:bidi w:val="0"/>
        <w:rPr>
          <w:rFonts w:hint="eastAsia"/>
          <w:rtl w:val="0"/>
          <w:lang w:val="en-US" w:eastAsia="zh-CN"/>
        </w:rPr>
      </w:pPr>
    </w:p>
    <w:p w14:paraId="46EEAF82">
      <w:pPr>
        <w:bidi w:val="0"/>
        <w:rPr>
          <w:rFonts w:hint="eastAsia"/>
          <w:rtl w:val="0"/>
          <w:lang w:val="en-US" w:eastAsia="zh-CN"/>
        </w:rPr>
      </w:pPr>
    </w:p>
    <w:p w14:paraId="36D4AEC8">
      <w:pPr>
        <w:bidi w:val="0"/>
        <w:rPr>
          <w:rFonts w:hint="eastAsia"/>
          <w:rtl w:val="0"/>
          <w:lang w:val="en-US" w:eastAsia="zh-CN"/>
        </w:rPr>
      </w:pPr>
    </w:p>
    <w:p w14:paraId="5AB74AD2">
      <w:pPr>
        <w:bidi w:val="0"/>
        <w:rPr>
          <w:rFonts w:hint="eastAsia"/>
          <w:rtl w:val="0"/>
          <w:lang w:val="en-US" w:eastAsia="zh-CN"/>
        </w:rPr>
      </w:pPr>
    </w:p>
    <w:p w14:paraId="23E6FB34">
      <w:pPr>
        <w:bidi w:val="0"/>
        <w:rPr>
          <w:rFonts w:hint="eastAsia"/>
          <w:rtl w:val="0"/>
          <w:lang w:val="en-US" w:eastAsia="zh-CN"/>
        </w:rPr>
      </w:pPr>
    </w:p>
    <w:p w14:paraId="003DF803">
      <w:pPr>
        <w:bidi w:val="0"/>
        <w:rPr>
          <w:rFonts w:hint="eastAsia"/>
          <w:rtl w:val="0"/>
          <w:lang w:val="en-US" w:eastAsia="zh-CN"/>
        </w:rPr>
      </w:pPr>
    </w:p>
    <w:p w14:paraId="1E31FB81">
      <w:pPr>
        <w:bidi w:val="0"/>
        <w:rPr>
          <w:rFonts w:hint="eastAsia"/>
          <w:rtl w:val="0"/>
          <w:lang w:val="en-US" w:eastAsia="zh-CN"/>
        </w:rPr>
      </w:pPr>
    </w:p>
    <w:p w14:paraId="6E5A7FE6">
      <w:pPr>
        <w:bidi w:val="0"/>
        <w:jc w:val="center"/>
        <w:rPr>
          <w:rFonts w:hint="eastAsia"/>
          <w:b/>
          <w:bCs/>
          <w:sz w:val="32"/>
          <w:szCs w:val="24"/>
          <w:rtl w:val="0"/>
          <w:lang w:val="en-US" w:eastAsia="zh-CN"/>
        </w:rPr>
      </w:pPr>
      <w:r>
        <w:rPr>
          <w:rFonts w:hint="eastAsia"/>
          <w:b/>
          <w:bCs/>
          <w:sz w:val="32"/>
          <w:szCs w:val="24"/>
          <w:rtl w:val="0"/>
          <w:lang w:val="en-US" w:eastAsia="zh-CN"/>
        </w:rPr>
        <w:t>超星集团</w:t>
      </w:r>
    </w:p>
    <w:p w14:paraId="3058A2DF">
      <w:pPr>
        <w:bidi w:val="0"/>
        <w:rPr>
          <w:rFonts w:hint="eastAsia"/>
          <w:rtl w:val="0"/>
          <w:lang w:val="en-US" w:eastAsia="zh-CN"/>
        </w:rPr>
      </w:pPr>
    </w:p>
    <w:p w14:paraId="49AAEA64">
      <w:pPr>
        <w:bidi w:val="0"/>
        <w:rPr>
          <w:rFonts w:hint="eastAsia"/>
          <w:rtl w:val="0"/>
          <w:lang w:val="en-US" w:eastAsia="zh-CN"/>
        </w:rPr>
      </w:pPr>
    </w:p>
    <w:p w14:paraId="1F36608F">
      <w:pPr>
        <w:bidi w:val="0"/>
        <w:rPr>
          <w:rFonts w:hint="eastAsia"/>
          <w:rtl w:val="0"/>
          <w:lang w:val="en-US" w:eastAsia="zh-CN"/>
        </w:rPr>
      </w:pPr>
    </w:p>
    <w:p w14:paraId="04254D20">
      <w:pPr>
        <w:bidi w:val="0"/>
        <w:rPr>
          <w:rFonts w:hint="eastAsia"/>
          <w:rtl w:val="0"/>
          <w:lang w:val="en-US" w:eastAsia="zh-CN"/>
        </w:rPr>
      </w:pPr>
    </w:p>
    <w:p w14:paraId="61DBDD1A">
      <w:pPr>
        <w:bidi w:val="0"/>
        <w:rPr>
          <w:rFonts w:hint="eastAsia"/>
          <w:rtl w:val="0"/>
          <w:lang w:val="en-US" w:eastAsia="zh-CN"/>
        </w:rPr>
      </w:pPr>
    </w:p>
    <w:p w14:paraId="2AF4E7C1">
      <w:pPr>
        <w:bidi w:val="0"/>
        <w:rPr>
          <w:rFonts w:hint="eastAsia"/>
          <w:rtl w:val="0"/>
          <w:lang w:val="en-US" w:eastAsia="zh-CN"/>
        </w:rPr>
      </w:pPr>
    </w:p>
    <w:p w14:paraId="737DF7AE">
      <w:pPr>
        <w:bidi w:val="0"/>
        <w:rPr>
          <w:rFonts w:hint="eastAsia"/>
          <w:rtl w:val="0"/>
          <w:lang w:val="en-US" w:eastAsia="zh-CN"/>
        </w:rPr>
      </w:pPr>
    </w:p>
    <w:p w14:paraId="04A4CE44">
      <w:pPr>
        <w:bidi w:val="0"/>
        <w:rPr>
          <w:rFonts w:hint="eastAsia"/>
          <w:rtl w:val="0"/>
          <w:lang w:val="en-US" w:eastAsia="zh-CN"/>
        </w:rPr>
      </w:pPr>
    </w:p>
    <w:p w14:paraId="0CF986CD">
      <w:pPr>
        <w:bidi w:val="0"/>
        <w:rPr>
          <w:rFonts w:hint="eastAsia"/>
          <w:rtl w:val="0"/>
          <w:lang w:val="en-US" w:eastAsia="zh-CN"/>
        </w:rPr>
      </w:pPr>
    </w:p>
    <w:p w14:paraId="69BCC078">
      <w:pPr>
        <w:bidi w:val="0"/>
        <w:rPr>
          <w:rFonts w:hint="eastAsia"/>
          <w:rtl w:val="0"/>
          <w:lang w:val="en-US" w:eastAsia="zh-CN"/>
        </w:rPr>
      </w:pPr>
    </w:p>
    <w:sdt>
      <w:sdtPr>
        <w:rPr>
          <w:rFonts w:ascii="宋体" w:hAnsi="宋体" w:eastAsia="宋体" w:cs="Arial Unicode MS"/>
          <w:sz w:val="21"/>
        </w:rPr>
        <w:id w:val="147464978"/>
        <w15:color w:val="DBDBDB"/>
        <w:docPartObj>
          <w:docPartGallery w:val="Table of Contents"/>
          <w:docPartUnique/>
        </w:docPartObj>
      </w:sdtPr>
      <w:sdtEndPr>
        <w:rPr>
          <w:rFonts w:hint="default" w:ascii="Arial Unicode MS" w:hAnsi="Arial Unicode MS" w:eastAsia="MicrosoftYaHei" w:cs="Arial Unicode MS"/>
          <w:sz w:val="22"/>
          <w:lang w:val="en-US" w:eastAsia="zh-CN"/>
        </w:rPr>
      </w:sdtEndPr>
      <w:sdtContent>
        <w:p w14:paraId="4F43629D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b/>
              <w:bCs/>
              <w:sz w:val="21"/>
            </w:rPr>
            <w:t>目录</w:t>
          </w:r>
        </w:p>
        <w:p w14:paraId="790C2B83">
          <w:pPr>
            <w:pStyle w:val="3"/>
            <w:tabs>
              <w:tab w:val="right" w:leader="dot" w:pos="8300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TOC \o "1-3" \h \u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_Toc8203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rtl w:val="0"/>
            </w:rPr>
            <w:t>1.登录</w:t>
          </w:r>
          <w:r>
            <w:tab/>
          </w:r>
          <w:r>
            <w:fldChar w:fldCharType="begin"/>
          </w:r>
          <w:r>
            <w:instrText xml:space="preserve"> PAGEREF _Toc8203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6DF2F015">
          <w:pPr>
            <w:pStyle w:val="3"/>
            <w:tabs>
              <w:tab w:val="right" w:leader="dot" w:pos="8300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_Toc6532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rtl w:val="0"/>
            </w:rPr>
            <w:t>2.AI研究员</w:t>
          </w:r>
          <w:r>
            <w:tab/>
          </w:r>
          <w:r>
            <w:fldChar w:fldCharType="begin"/>
          </w:r>
          <w:r>
            <w:instrText xml:space="preserve"> PAGEREF _Toc6532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4A95BDD6">
          <w:pPr>
            <w:pStyle w:val="2"/>
            <w:tabs>
              <w:tab w:val="right" w:leader="dot" w:pos="8300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_Toc23325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rtl w:val="0"/>
            </w:rPr>
            <w:t>2.1  AI问答</w:t>
          </w:r>
          <w:r>
            <w:tab/>
          </w:r>
          <w:r>
            <w:fldChar w:fldCharType="begin"/>
          </w:r>
          <w:r>
            <w:instrText xml:space="preserve"> PAGEREF _Toc23325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6A3E1F3F">
          <w:pPr>
            <w:pStyle w:val="2"/>
            <w:tabs>
              <w:tab w:val="right" w:leader="dot" w:pos="8300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_Toc24628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rtl w:val="0"/>
            </w:rPr>
            <w:t>2.2  为你推荐</w:t>
          </w:r>
          <w:r>
            <w:tab/>
          </w:r>
          <w:r>
            <w:fldChar w:fldCharType="begin"/>
          </w:r>
          <w:r>
            <w:instrText xml:space="preserve"> PAGEREF _Toc24628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368918AC">
          <w:pPr>
            <w:pStyle w:val="3"/>
            <w:tabs>
              <w:tab w:val="right" w:leader="dot" w:pos="8300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_Toc14199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rtl w:val="0"/>
            </w:rPr>
            <w:t>3.AI学术追踪</w:t>
          </w:r>
          <w:r>
            <w:tab/>
          </w:r>
          <w:r>
            <w:fldChar w:fldCharType="begin"/>
          </w:r>
          <w:r>
            <w:instrText xml:space="preserve"> PAGEREF _Toc14199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36030965">
          <w:pPr>
            <w:pStyle w:val="2"/>
            <w:tabs>
              <w:tab w:val="right" w:leader="dot" w:pos="8300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_Toc29067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rtl w:val="0"/>
            </w:rPr>
            <w:t>3.1研究兴趣</w:t>
          </w:r>
          <w:r>
            <w:tab/>
          </w:r>
          <w:r>
            <w:fldChar w:fldCharType="begin"/>
          </w:r>
          <w:r>
            <w:instrText xml:space="preserve"> PAGEREF _Toc29067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7A1C9156">
          <w:pPr>
            <w:pStyle w:val="2"/>
            <w:tabs>
              <w:tab w:val="right" w:leader="dot" w:pos="8300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_Toc26981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rtl w:val="0"/>
            </w:rPr>
            <w:t>3.2学术期刊</w:t>
          </w:r>
          <w:r>
            <w:tab/>
          </w:r>
          <w:r>
            <w:fldChar w:fldCharType="begin"/>
          </w:r>
          <w:r>
            <w:instrText xml:space="preserve"> PAGEREF _Toc26981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147F4A92">
          <w:pPr>
            <w:pStyle w:val="2"/>
            <w:tabs>
              <w:tab w:val="right" w:leader="dot" w:pos="8300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_Toc7810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rtl w:val="0"/>
            </w:rPr>
            <w:t>3.3学者</w:t>
          </w:r>
          <w:r>
            <w:tab/>
          </w:r>
          <w:r>
            <w:fldChar w:fldCharType="begin"/>
          </w:r>
          <w:r>
            <w:instrText xml:space="preserve"> PAGEREF _Toc7810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0A83C8B4">
          <w:pPr>
            <w:pStyle w:val="2"/>
            <w:tabs>
              <w:tab w:val="right" w:leader="dot" w:pos="8300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_Toc15451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rtl w:val="0"/>
            </w:rPr>
            <w:t>3.4学术顶会</w:t>
          </w:r>
          <w:r>
            <w:tab/>
          </w:r>
          <w:r>
            <w:fldChar w:fldCharType="begin"/>
          </w:r>
          <w:r>
            <w:instrText xml:space="preserve"> PAGEREF _Toc15451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7E76E69A">
          <w:pPr>
            <w:pStyle w:val="2"/>
            <w:tabs>
              <w:tab w:val="right" w:leader="dot" w:pos="8300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_Toc12722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rtl w:val="0"/>
            </w:rPr>
            <w:t>3.5 arXiv</w:t>
          </w:r>
          <w:r>
            <w:tab/>
          </w:r>
          <w:r>
            <w:fldChar w:fldCharType="begin"/>
          </w:r>
          <w:r>
            <w:instrText xml:space="preserve"> PAGEREF _Toc12722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6A99A8CA">
          <w:pPr>
            <w:pStyle w:val="3"/>
            <w:tabs>
              <w:tab w:val="right" w:leader="dot" w:pos="8300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_Toc4532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rtl w:val="0"/>
            </w:rPr>
            <w:t>4.AI知识库</w:t>
          </w:r>
          <w:r>
            <w:tab/>
          </w:r>
          <w:r>
            <w:fldChar w:fldCharType="begin"/>
          </w:r>
          <w:r>
            <w:instrText xml:space="preserve"> PAGEREF _Toc4532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3DF6FE12">
          <w:pPr>
            <w:pStyle w:val="2"/>
            <w:tabs>
              <w:tab w:val="right" w:leader="dot" w:pos="8300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_Toc27532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rtl w:val="0"/>
            </w:rPr>
            <w:t>4.1公共AI知识库</w:t>
          </w:r>
          <w:r>
            <w:tab/>
          </w:r>
          <w:r>
            <w:fldChar w:fldCharType="begin"/>
          </w:r>
          <w:r>
            <w:instrText xml:space="preserve"> PAGEREF _Toc27532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2A19C81F">
          <w:pPr>
            <w:pStyle w:val="2"/>
            <w:tabs>
              <w:tab w:val="right" w:leader="dot" w:pos="8300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_Toc665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rtl w:val="0"/>
            </w:rPr>
            <w:t>4.2 机构AI知识库</w:t>
          </w:r>
          <w:r>
            <w:tab/>
          </w:r>
          <w:r>
            <w:fldChar w:fldCharType="begin"/>
          </w:r>
          <w:r>
            <w:instrText xml:space="preserve"> PAGEREF _Toc665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71B8DE8D">
          <w:pPr>
            <w:pStyle w:val="3"/>
            <w:tabs>
              <w:tab w:val="right" w:leader="dot" w:pos="8300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_Toc22823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rtl w:val="0"/>
            </w:rPr>
            <w:t>5.AI应用</w:t>
          </w:r>
          <w:r>
            <w:tab/>
          </w:r>
          <w:r>
            <w:fldChar w:fldCharType="begin"/>
          </w:r>
          <w:r>
            <w:instrText xml:space="preserve"> PAGEREF _Toc22823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2CA86988">
          <w:pPr>
            <w:pStyle w:val="3"/>
            <w:tabs>
              <w:tab w:val="right" w:leader="dot" w:pos="8300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_Toc9742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rtl w:val="0"/>
            </w:rPr>
            <w:t>6.课题</w:t>
          </w:r>
          <w:r>
            <w:tab/>
          </w:r>
          <w:r>
            <w:fldChar w:fldCharType="begin"/>
          </w:r>
          <w:r>
            <w:instrText xml:space="preserve"> PAGEREF _Toc9742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5B842A70">
          <w:pPr>
            <w:pStyle w:val="3"/>
            <w:tabs>
              <w:tab w:val="right" w:leader="dot" w:pos="8300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_Toc8854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rtl w:val="0"/>
            </w:rPr>
            <w:t>7.工作集</w:t>
          </w:r>
          <w:r>
            <w:tab/>
          </w:r>
          <w:r>
            <w:fldChar w:fldCharType="begin"/>
          </w:r>
          <w:r>
            <w:instrText xml:space="preserve"> PAGEREF _Toc8854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51D3BF35">
          <w:pPr>
            <w:bidi w:val="0"/>
            <w:rPr>
              <w:rFonts w:hint="default" w:ascii="Arial Unicode MS" w:hAnsi="Arial Unicode MS" w:eastAsia="MicrosoftYaHei" w:cs="Arial Unicode MS"/>
              <w:sz w:val="22"/>
              <w:lang w:val="en-US" w:eastAsia="zh-CN"/>
            </w:rPr>
          </w:pPr>
          <w:r>
            <w:rPr>
              <w:rFonts w:hint="default"/>
              <w:lang w:val="en-US" w:eastAsia="zh-CN"/>
            </w:rPr>
            <w:fldChar w:fldCharType="end"/>
          </w:r>
        </w:p>
      </w:sdtContent>
    </w:sdt>
    <w:p w14:paraId="470452E2">
      <w:pPr>
        <w:bidi w:val="0"/>
        <w:rPr>
          <w:rFonts w:hint="default" w:ascii="Arial Unicode MS" w:hAnsi="Arial Unicode MS" w:eastAsia="MicrosoftYaHei" w:cs="Arial Unicode MS"/>
          <w:sz w:val="22"/>
          <w:rtl w:val="0"/>
          <w:lang w:val="en-US" w:eastAsia="zh-CN"/>
        </w:rPr>
      </w:pPr>
    </w:p>
    <w:p w14:paraId="6656C802">
      <w:pPr>
        <w:pStyle w:val="6"/>
        <w:rPr>
          <w:rFonts w:hint="eastAsia"/>
          <w:rtl w:val="0"/>
          <w:lang w:val="en-US" w:eastAsia="zh-CN"/>
        </w:rPr>
      </w:pPr>
    </w:p>
    <w:p w14:paraId="3E6E65FC">
      <w:pPr>
        <w:pStyle w:val="6"/>
        <w:rPr>
          <w:rFonts w:hint="eastAsia" w:ascii="微软雅黑" w:hAnsi="微软雅黑" w:eastAsia="微软雅黑" w:cs="微软雅黑"/>
          <w:rtl w:val="0"/>
          <w:lang w:val="en-US" w:eastAsia="zh-CN"/>
        </w:rPr>
      </w:pPr>
    </w:p>
    <w:p w14:paraId="18307579">
      <w:pPr>
        <w:pStyle w:val="6"/>
        <w:rPr>
          <w:rFonts w:hint="default" w:ascii="微软雅黑" w:hAnsi="微软雅黑" w:eastAsia="微软雅黑" w:cs="微软雅黑"/>
          <w:rtl w:val="0"/>
          <w:lang w:val="en-US" w:eastAsia="zh-CN"/>
        </w:rPr>
        <w:sectPr>
          <w:pgSz w:w="11900" w:h="16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31C37CFF">
      <w:pPr>
        <w:pStyle w:val="9"/>
        <w:spacing w:line="240" w:lineRule="auto"/>
        <w:rPr>
          <w:rFonts w:hint="eastAsia" w:ascii="微软雅黑" w:hAnsi="微软雅黑" w:eastAsia="微软雅黑" w:cs="微软雅黑"/>
        </w:rPr>
      </w:pPr>
      <w:bookmarkStart w:id="0" w:name="_Toc8203"/>
      <w:r>
        <w:rPr>
          <w:rFonts w:hint="eastAsia" w:ascii="微软雅黑" w:hAnsi="微软雅黑" w:eastAsia="微软雅黑" w:cs="微软雅黑"/>
          <w:rtl w:val="0"/>
        </w:rPr>
        <w:t>1.登录</w:t>
      </w:r>
      <w:bookmarkEnd w:id="0"/>
    </w:p>
    <w:p w14:paraId="7F65F6B3">
      <w:pPr>
        <w:pStyle w:val="6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登录学校/机构开通的</w:t>
      </w:r>
      <w:r>
        <w:rPr>
          <w:rFonts w:hint="eastAsia" w:ascii="微软雅黑" w:hAnsi="微软雅黑" w:eastAsia="微软雅黑" w:cs="微软雅黑"/>
          <w:rtl w:val="0"/>
          <w:lang w:val="en-US" w:eastAsia="zh-CN"/>
        </w:rPr>
        <w:t>科学导航</w:t>
      </w:r>
      <w:r>
        <w:rPr>
          <w:rFonts w:hint="eastAsia" w:ascii="微软雅黑" w:hAnsi="微软雅黑" w:eastAsia="微软雅黑" w:cs="微软雅黑"/>
          <w:rtl w:val="0"/>
        </w:rPr>
        <w:t>地址（采用passport登录、或统一认证账号登录），登录成功后进入首页</w:t>
      </w:r>
    </w:p>
    <w:p w14:paraId="3C874D46">
      <w:pPr>
        <w:pStyle w:val="6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drawing>
          <wp:inline distT="0" distB="0" distL="114300" distR="114300">
            <wp:extent cx="5029200" cy="2385695"/>
            <wp:effectExtent l="0" t="0" r="0" b="14605"/>
            <wp:docPr id="4" name="Drawing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EE24D">
      <w:pPr>
        <w:pStyle w:val="9"/>
        <w:spacing w:line="240" w:lineRule="auto"/>
        <w:rPr>
          <w:rFonts w:hint="eastAsia" w:ascii="微软雅黑" w:hAnsi="微软雅黑" w:eastAsia="微软雅黑" w:cs="微软雅黑"/>
        </w:rPr>
      </w:pPr>
      <w:bookmarkStart w:id="1" w:name="_Toc6532"/>
      <w:r>
        <w:rPr>
          <w:rFonts w:hint="eastAsia" w:ascii="微软雅黑" w:hAnsi="微软雅黑" w:eastAsia="微软雅黑" w:cs="微软雅黑"/>
          <w:rtl w:val="0"/>
        </w:rPr>
        <w:t>2.AI研究员</w:t>
      </w:r>
      <w:bookmarkEnd w:id="1"/>
    </w:p>
    <w:p w14:paraId="5C5EF041">
      <w:pPr>
        <w:pStyle w:val="10"/>
        <w:spacing w:line="240" w:lineRule="auto"/>
        <w:rPr>
          <w:rFonts w:hint="eastAsia" w:ascii="微软雅黑" w:hAnsi="微软雅黑" w:eastAsia="微软雅黑" w:cs="微软雅黑"/>
        </w:rPr>
      </w:pPr>
      <w:bookmarkStart w:id="2" w:name="_Toc23325"/>
      <w:r>
        <w:rPr>
          <w:rFonts w:hint="eastAsia" w:ascii="微软雅黑" w:hAnsi="微软雅黑" w:eastAsia="微软雅黑" w:cs="微软雅黑"/>
          <w:rtl w:val="0"/>
        </w:rPr>
        <w:t>2.1  AI问答</w:t>
      </w:r>
      <w:bookmarkEnd w:id="2"/>
    </w:p>
    <w:p w14:paraId="1B3CCD44">
      <w:pPr>
        <w:pStyle w:val="6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根据使用场景，选择综合问答、学科/领域专业知识库问答、Deep Research深度研究问答。</w:t>
      </w:r>
    </w:p>
    <w:p w14:paraId="3D8F2D8E">
      <w:pPr>
        <w:pStyle w:val="6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（1）综合问答—不限学科进行AI问答，查询学术引擎、OA资源、顶刊会议等，进行学术研究问答</w:t>
      </w:r>
    </w:p>
    <w:p w14:paraId="10FB741A">
      <w:pPr>
        <w:pStyle w:val="6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drawing>
          <wp:inline distT="0" distB="0" distL="114300" distR="114300">
            <wp:extent cx="5029200" cy="2385695"/>
            <wp:effectExtent l="0" t="0" r="0" b="14605"/>
            <wp:docPr id="18" name="Drawing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rawing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2BB46">
      <w:pPr>
        <w:pStyle w:val="6"/>
        <w:spacing w:line="240" w:lineRule="auto"/>
        <w:rPr>
          <w:rFonts w:hint="eastAsia" w:ascii="微软雅黑" w:hAnsi="微软雅黑" w:eastAsia="微软雅黑" w:cs="微软雅黑"/>
        </w:rPr>
      </w:pPr>
    </w:p>
    <w:p w14:paraId="70200056">
      <w:pPr>
        <w:pStyle w:val="6"/>
        <w:spacing w:line="240" w:lineRule="auto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（2）专业学科性的AI知识库</w:t>
      </w:r>
    </w:p>
    <w:p w14:paraId="5BF6D822">
      <w:pPr>
        <w:pStyle w:val="6"/>
        <w:spacing w:line="240" w:lineRule="auto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drawing>
          <wp:inline distT="0" distB="0" distL="114300" distR="114300">
            <wp:extent cx="5029200" cy="2606040"/>
            <wp:effectExtent l="0" t="0" r="0" b="3810"/>
            <wp:docPr id="23" name="Drawing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rawing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60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D244B">
      <w:pPr>
        <w:pStyle w:val="6"/>
        <w:spacing w:line="240" w:lineRule="auto"/>
        <w:jc w:val="left"/>
        <w:rPr>
          <w:rFonts w:hint="eastAsia" w:ascii="微软雅黑" w:hAnsi="微软雅黑" w:eastAsia="微软雅黑" w:cs="微软雅黑"/>
        </w:rPr>
      </w:pPr>
    </w:p>
    <w:p w14:paraId="60077630">
      <w:pPr>
        <w:pStyle w:val="6"/>
        <w:spacing w:line="240" w:lineRule="auto"/>
        <w:jc w:val="left"/>
        <w:rPr>
          <w:rFonts w:hint="eastAsia" w:ascii="微软雅黑" w:hAnsi="微软雅黑" w:eastAsia="微软雅黑" w:cs="微软雅黑"/>
          <w:rtl w:val="0"/>
        </w:rPr>
      </w:pPr>
      <w:r>
        <w:rPr>
          <w:rFonts w:hint="eastAsia" w:ascii="微软雅黑" w:hAnsi="微软雅黑" w:eastAsia="微软雅黑" w:cs="微软雅黑"/>
          <w:rtl w:val="0"/>
        </w:rPr>
        <w:t>（3）Deep research【深度思考】：基于AI知识库的AI长文档输出（支持多模态，长文本的输出）</w:t>
      </w:r>
    </w:p>
    <w:p w14:paraId="2C8FD6E7">
      <w:pPr>
        <w:pStyle w:val="6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029200" cy="2364740"/>
            <wp:effectExtent l="0" t="0" r="0" b="16510"/>
            <wp:docPr id="29" name="Drawing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rawing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86709">
      <w:pPr>
        <w:pStyle w:val="6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029200" cy="2385695"/>
            <wp:effectExtent l="0" t="0" r="0" b="14605"/>
            <wp:docPr id="31" name="Drawing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rawing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AB6FF">
      <w:pPr>
        <w:pStyle w:val="6"/>
        <w:spacing w:line="240" w:lineRule="auto"/>
        <w:rPr>
          <w:rFonts w:hint="eastAsia" w:ascii="微软雅黑" w:hAnsi="微软雅黑" w:eastAsia="微软雅黑" w:cs="微软雅黑"/>
        </w:rPr>
      </w:pPr>
    </w:p>
    <w:p w14:paraId="7073EFDB">
      <w:pPr>
        <w:pStyle w:val="6"/>
        <w:spacing w:line="240" w:lineRule="auto"/>
        <w:rPr>
          <w:rFonts w:hint="eastAsia" w:ascii="微软雅黑" w:hAnsi="微软雅黑" w:eastAsia="微软雅黑" w:cs="微软雅黑"/>
        </w:rPr>
      </w:pPr>
    </w:p>
    <w:p w14:paraId="67C6555B">
      <w:pPr>
        <w:pStyle w:val="10"/>
        <w:spacing w:line="240" w:lineRule="auto"/>
        <w:rPr>
          <w:rFonts w:hint="eastAsia" w:ascii="微软雅黑" w:hAnsi="微软雅黑" w:eastAsia="微软雅黑" w:cs="微软雅黑"/>
        </w:rPr>
      </w:pPr>
      <w:bookmarkStart w:id="3" w:name="_Toc24628"/>
      <w:r>
        <w:rPr>
          <w:rFonts w:hint="eastAsia" w:ascii="微软雅黑" w:hAnsi="微软雅黑" w:eastAsia="微软雅黑" w:cs="微软雅黑"/>
          <w:rtl w:val="0"/>
        </w:rPr>
        <w:t>2.2  为你推荐</w:t>
      </w:r>
      <w:bookmarkEnd w:id="3"/>
    </w:p>
    <w:p w14:paraId="21F4BCF0">
      <w:pPr>
        <w:pStyle w:val="6"/>
        <w:spacing w:line="240" w:lineRule="auto"/>
        <w:rPr>
          <w:rFonts w:hint="eastAsia"/>
        </w:rPr>
      </w:pPr>
      <w:r>
        <w:rPr>
          <w:rFonts w:hint="eastAsia" w:ascii="微软雅黑" w:hAnsi="微软雅黑" w:eastAsia="微软雅黑" w:cs="微软雅黑"/>
          <w:rtl w:val="0"/>
        </w:rPr>
        <w:t>（1）首次登录，自动推送领域设置弹窗，用户进行选择（根据教育部学科分类、ESI学科进行勾选），可进行二次修改</w:t>
      </w:r>
    </w:p>
    <w:p w14:paraId="668CBFE5">
      <w:pPr>
        <w:pStyle w:val="6"/>
        <w:spacing w:line="360" w:lineRule="auto"/>
        <w:rPr>
          <w:rFonts w:hint="eastAsia" w:ascii="微软雅黑" w:hAnsi="微软雅黑" w:eastAsia="微软雅黑" w:cs="微软雅黑"/>
          <w:rtl w:val="0"/>
          <w:lang w:val="en-US" w:eastAsia="zh-CN"/>
        </w:rPr>
      </w:pPr>
      <w:r>
        <w:rPr>
          <w:rFonts w:hint="eastAsia" w:ascii="微软雅黑" w:hAnsi="微软雅黑" w:eastAsia="微软雅黑" w:cs="微软雅黑"/>
          <w:rtl w:val="0"/>
        </w:rPr>
        <w:t>（2）根据兴趣领域、用户画像，千人千面推送个性化资</w:t>
      </w:r>
      <w:r>
        <w:rPr>
          <w:rFonts w:hint="eastAsia" w:ascii="微软雅黑" w:hAnsi="微软雅黑" w:eastAsia="微软雅黑" w:cs="微软雅黑"/>
          <w:rtl w:val="0"/>
          <w:lang w:val="en-US" w:eastAsia="zh-CN"/>
        </w:rPr>
        <w:t>源</w:t>
      </w:r>
    </w:p>
    <w:p w14:paraId="59BCE187">
      <w:pPr>
        <w:pStyle w:val="6"/>
        <w:spacing w:line="360" w:lineRule="auto"/>
        <w:rPr>
          <w:rFonts w:hint="eastAsia" w:ascii="微软雅黑" w:hAnsi="微软雅黑" w:eastAsia="微软雅黑" w:cs="微软雅黑"/>
          <w:rtl w:val="0"/>
        </w:rPr>
      </w:pPr>
      <w:r>
        <w:rPr>
          <w:rFonts w:hint="eastAsia"/>
          <w:rtl w:val="0"/>
        </w:rPr>
        <w:drawing>
          <wp:inline distT="0" distB="0" distL="114300" distR="114300">
            <wp:extent cx="5029200" cy="2477770"/>
            <wp:effectExtent l="0" t="0" r="0" b="17780"/>
            <wp:docPr id="39" name="Drawing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rawing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47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E21FE">
      <w:pPr>
        <w:pStyle w:val="6"/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drawing>
          <wp:inline distT="0" distB="0" distL="114300" distR="114300">
            <wp:extent cx="5029200" cy="2469515"/>
            <wp:effectExtent l="0" t="0" r="0" b="6985"/>
            <wp:docPr id="43" name="Drawing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rawing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4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F1B0E">
      <w:pPr>
        <w:pStyle w:val="9"/>
        <w:spacing w:line="360" w:lineRule="auto"/>
        <w:rPr>
          <w:rFonts w:hint="eastAsia" w:ascii="微软雅黑" w:hAnsi="微软雅黑" w:eastAsia="微软雅黑" w:cs="微软雅黑"/>
        </w:rPr>
      </w:pPr>
      <w:bookmarkStart w:id="4" w:name="_Toc14199"/>
      <w:r>
        <w:rPr>
          <w:rFonts w:hint="eastAsia" w:ascii="微软雅黑" w:hAnsi="微软雅黑" w:eastAsia="微软雅黑" w:cs="微软雅黑"/>
          <w:rtl w:val="0"/>
        </w:rPr>
        <w:t>3.AI学术追踪</w:t>
      </w:r>
      <w:bookmarkEnd w:id="4"/>
    </w:p>
    <w:p w14:paraId="516E1819">
      <w:pPr>
        <w:pStyle w:val="6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通过AI研判用户的研究方向、聚焦技术细节、关注特定应用场景、描述研究目标或是通过明确具体的研究问题等角度来设置兴趣点/订阅期刊/关注学者/学术顶会/机构资源。自动筛选并推送最新的相关主题论文，确保用户不错过任何重要的研究动态。</w:t>
      </w:r>
    </w:p>
    <w:p w14:paraId="7239038E">
      <w:pPr>
        <w:pStyle w:val="10"/>
        <w:spacing w:line="240" w:lineRule="auto"/>
        <w:rPr>
          <w:rFonts w:hint="eastAsia" w:ascii="微软雅黑" w:hAnsi="微软雅黑" w:eastAsia="微软雅黑" w:cs="微软雅黑"/>
        </w:rPr>
      </w:pPr>
      <w:bookmarkStart w:id="5" w:name="_Toc29067"/>
      <w:r>
        <w:rPr>
          <w:rFonts w:hint="eastAsia" w:ascii="微软雅黑" w:hAnsi="微软雅黑" w:eastAsia="微软雅黑" w:cs="微软雅黑"/>
          <w:rtl w:val="0"/>
        </w:rPr>
        <w:t>3.1研究兴趣</w:t>
      </w:r>
      <w:bookmarkEnd w:id="5"/>
    </w:p>
    <w:p w14:paraId="11D28F68">
      <w:pPr>
        <w:pStyle w:val="6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（1）新增研究兴趣：输入研究兴趣、研究内容，根据输入的内容自动生成、推荐相关研究兴趣给用户，点击“追踪”，进行追踪研究最新文章</w:t>
      </w:r>
    </w:p>
    <w:p w14:paraId="77207BCC">
      <w:pPr>
        <w:pStyle w:val="6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drawing>
          <wp:inline distT="0" distB="0" distL="114300" distR="114300">
            <wp:extent cx="5029200" cy="2385695"/>
            <wp:effectExtent l="0" t="0" r="0" b="14605"/>
            <wp:docPr id="54" name="Drawing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Drawing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ED466">
      <w:pPr>
        <w:pStyle w:val="6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（2）根据研究兴趣，推送相关学术资源，可对资源进行“加入阅读清单”“引用”“AI解读”。如资源存在原文情况下，点击【AI速读】，打开AI速读页面</w:t>
      </w:r>
    </w:p>
    <w:p w14:paraId="58E3BB9C">
      <w:pPr>
        <w:pStyle w:val="6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drawing>
          <wp:inline distT="0" distB="0" distL="114300" distR="114300">
            <wp:extent cx="5029200" cy="2385695"/>
            <wp:effectExtent l="0" t="0" r="0" b="14605"/>
            <wp:docPr id="58" name="Drawing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Drawing 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0130B">
      <w:pPr>
        <w:pStyle w:val="6"/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（3）【AI速览】，对当前资源进行AI总结，</w:t>
      </w:r>
      <w:r>
        <w:rPr>
          <w:rFonts w:hint="eastAsia" w:ascii="微软雅黑" w:hAnsi="微软雅黑" w:eastAsia="微软雅黑" w:cs="微软雅黑"/>
          <w:color w:val="3E3E3E"/>
          <w:sz w:val="24"/>
          <w:szCs w:val="24"/>
          <w:highlight w:val="white"/>
          <w:rtl w:val="0"/>
        </w:rPr>
        <w:t>快速提炼文献的核心内容和关键创新点</w:t>
      </w:r>
      <w:r>
        <w:rPr>
          <w:rFonts w:hint="eastAsia" w:ascii="微软雅黑" w:hAnsi="微软雅黑" w:eastAsia="微软雅黑" w:cs="微软雅黑"/>
          <w:rtl w:val="0"/>
        </w:rPr>
        <w:t>；点击溯源角标，可快速定位到对应的资源</w:t>
      </w:r>
    </w:p>
    <w:p w14:paraId="7D87744D">
      <w:pPr>
        <w:pStyle w:val="6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drawing>
          <wp:inline distT="0" distB="0" distL="114300" distR="114300">
            <wp:extent cx="5029200" cy="2385695"/>
            <wp:effectExtent l="0" t="0" r="0" b="14605"/>
            <wp:docPr id="64" name="Drawing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Drawing 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D90B8">
      <w:pPr>
        <w:pStyle w:val="10"/>
        <w:spacing w:line="240" w:lineRule="auto"/>
        <w:rPr>
          <w:rFonts w:hint="eastAsia" w:ascii="微软雅黑" w:hAnsi="微软雅黑" w:eastAsia="微软雅黑" w:cs="微软雅黑"/>
        </w:rPr>
      </w:pPr>
      <w:bookmarkStart w:id="6" w:name="_Toc26981"/>
      <w:r>
        <w:rPr>
          <w:rFonts w:hint="eastAsia" w:ascii="微软雅黑" w:hAnsi="微软雅黑" w:eastAsia="微软雅黑" w:cs="微软雅黑"/>
          <w:rtl w:val="0"/>
        </w:rPr>
        <w:t>3.2学术期刊</w:t>
      </w:r>
      <w:bookmarkEnd w:id="6"/>
    </w:p>
    <w:p w14:paraId="57B56635">
      <w:pPr>
        <w:pStyle w:val="6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根据研究兴趣，订阅期刊，推送相关的最新研究成果、文章</w:t>
      </w:r>
    </w:p>
    <w:p w14:paraId="15669116">
      <w:pPr>
        <w:pStyle w:val="6"/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（1）新增关注期刊：输入研究兴趣，科学导航根据输入的内容自动生成、推荐相关期刊给用户，点击“追踪”，进行追踪期刊，期刊更新后，会</w:t>
      </w:r>
      <w:r>
        <w:rPr>
          <w:rFonts w:hint="eastAsia" w:ascii="微软雅黑" w:hAnsi="微软雅黑" w:eastAsia="微软雅黑" w:cs="微软雅黑"/>
          <w:rtl w:val="0"/>
          <w:lang w:val="en-US" w:eastAsia="zh-CN"/>
        </w:rPr>
        <w:t>第</w:t>
      </w:r>
      <w:r>
        <w:rPr>
          <w:rFonts w:hint="eastAsia" w:ascii="微软雅黑" w:hAnsi="微软雅黑" w:eastAsia="微软雅黑" w:cs="微软雅黑"/>
          <w:rtl w:val="0"/>
        </w:rPr>
        <w:t>一时间接收最新资源</w:t>
      </w:r>
    </w:p>
    <w:p w14:paraId="02E794A0">
      <w:pPr>
        <w:pStyle w:val="6"/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drawing>
          <wp:inline distT="0" distB="0" distL="114300" distR="114300">
            <wp:extent cx="5029200" cy="2385695"/>
            <wp:effectExtent l="0" t="0" r="0" b="14605"/>
            <wp:docPr id="74" name="Drawing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Drawing 1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0DCBF">
      <w:pPr>
        <w:pStyle w:val="6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（2）根据期刊，推送期刊下全部的文章</w:t>
      </w:r>
    </w:p>
    <w:p w14:paraId="6E82F1BC">
      <w:pPr>
        <w:pStyle w:val="6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（3）AI速览：对一期的文章进行AI总结，快速提炼文献的核心内容和关键创新点；点击溯源角标，可快速定位到对应的资源</w:t>
      </w:r>
    </w:p>
    <w:p w14:paraId="64DCDE54">
      <w:pPr>
        <w:pStyle w:val="6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（4）期刊对话：支持对期刊，进行快速对话，获取期刊的核心要点、重要研究内容</w:t>
      </w:r>
    </w:p>
    <w:p w14:paraId="01446899">
      <w:pPr>
        <w:pStyle w:val="6"/>
        <w:spacing w:line="240" w:lineRule="auto"/>
        <w:rPr>
          <w:rFonts w:hint="eastAsia" w:ascii="微软雅黑" w:hAnsi="微软雅黑" w:eastAsia="微软雅黑" w:cs="微软雅黑"/>
        </w:rPr>
      </w:pPr>
    </w:p>
    <w:p w14:paraId="419A6E41">
      <w:pPr>
        <w:pStyle w:val="10"/>
        <w:spacing w:line="240" w:lineRule="auto"/>
        <w:rPr>
          <w:rFonts w:hint="eastAsia" w:ascii="微软雅黑" w:hAnsi="微软雅黑" w:eastAsia="微软雅黑" w:cs="微软雅黑"/>
        </w:rPr>
      </w:pPr>
      <w:bookmarkStart w:id="7" w:name="_Toc7810"/>
      <w:r>
        <w:rPr>
          <w:rFonts w:hint="eastAsia" w:ascii="微软雅黑" w:hAnsi="微软雅黑" w:eastAsia="微软雅黑" w:cs="微软雅黑"/>
          <w:rtl w:val="0"/>
        </w:rPr>
        <w:t>3.3学者</w:t>
      </w:r>
      <w:bookmarkEnd w:id="7"/>
    </w:p>
    <w:p w14:paraId="20EFAF18">
      <w:pPr>
        <w:pStyle w:val="6"/>
        <w:spacing w:line="240" w:lineRule="auto"/>
        <w:rPr>
          <w:rFonts w:hint="eastAsia" w:ascii="微软雅黑" w:hAnsi="微软雅黑" w:eastAsia="微软雅黑" w:cs="微软雅黑"/>
          <w:rtl w:val="0"/>
        </w:rPr>
      </w:pPr>
      <w:r>
        <w:rPr>
          <w:rFonts w:hint="eastAsia" w:ascii="微软雅黑" w:hAnsi="微软雅黑" w:eastAsia="微软雅黑" w:cs="微软雅黑"/>
          <w:rtl w:val="0"/>
        </w:rPr>
        <w:t>根据研究兴趣，关注学者，推送学者的最新研究成果</w:t>
      </w:r>
    </w:p>
    <w:p w14:paraId="0409394F">
      <w:pPr>
        <w:pStyle w:val="6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（1）关注学者：输入研究兴趣或方向，跟踪学者</w:t>
      </w:r>
    </w:p>
    <w:p w14:paraId="2BEDE384">
      <w:pPr>
        <w:pStyle w:val="6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drawing>
          <wp:inline distT="0" distB="0" distL="114300" distR="114300">
            <wp:extent cx="5029200" cy="2385695"/>
            <wp:effectExtent l="0" t="0" r="0" b="14605"/>
            <wp:docPr id="91" name="Drawing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Drawing 1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88A99">
      <w:pPr>
        <w:pStyle w:val="6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（2）推送学者的研究成果</w:t>
      </w:r>
    </w:p>
    <w:p w14:paraId="2254A9E7">
      <w:pPr>
        <w:pStyle w:val="6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（3）AI速览：对学者的研究成果，进行快速总结</w:t>
      </w:r>
    </w:p>
    <w:p w14:paraId="087967C2">
      <w:pPr>
        <w:pStyle w:val="6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（4）学者对话：与学者进行对话</w:t>
      </w:r>
    </w:p>
    <w:p w14:paraId="658A7320">
      <w:pPr>
        <w:pStyle w:val="6"/>
        <w:spacing w:line="240" w:lineRule="auto"/>
        <w:rPr>
          <w:rFonts w:hint="eastAsia" w:ascii="微软雅黑" w:hAnsi="微软雅黑" w:eastAsia="微软雅黑" w:cs="微软雅黑"/>
        </w:rPr>
      </w:pPr>
    </w:p>
    <w:p w14:paraId="7FC26E1D">
      <w:pPr>
        <w:pStyle w:val="10"/>
        <w:spacing w:line="240" w:lineRule="auto"/>
        <w:rPr>
          <w:rFonts w:hint="eastAsia" w:ascii="微软雅黑" w:hAnsi="微软雅黑" w:eastAsia="微软雅黑" w:cs="微软雅黑"/>
        </w:rPr>
      </w:pPr>
      <w:bookmarkStart w:id="8" w:name="_Toc15451"/>
      <w:r>
        <w:rPr>
          <w:rFonts w:hint="eastAsia" w:ascii="微软雅黑" w:hAnsi="微软雅黑" w:eastAsia="微软雅黑" w:cs="微软雅黑"/>
          <w:rtl w:val="0"/>
        </w:rPr>
        <w:t>3.4学术顶会</w:t>
      </w:r>
      <w:bookmarkEnd w:id="8"/>
    </w:p>
    <w:p w14:paraId="51782C06">
      <w:pPr>
        <w:pStyle w:val="6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推送计算机顶会相关论文</w:t>
      </w:r>
    </w:p>
    <w:p w14:paraId="6D511CF4">
      <w:pPr>
        <w:pStyle w:val="6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drawing>
          <wp:inline distT="0" distB="0" distL="114300" distR="114300">
            <wp:extent cx="5029200" cy="2385695"/>
            <wp:effectExtent l="0" t="0" r="0" b="14605"/>
            <wp:docPr id="104" name="Drawing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Drawing 1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7F77E">
      <w:pPr>
        <w:pStyle w:val="10"/>
        <w:spacing w:line="240" w:lineRule="auto"/>
        <w:rPr>
          <w:rFonts w:hint="eastAsia" w:ascii="微软雅黑" w:hAnsi="微软雅黑" w:eastAsia="微软雅黑" w:cs="微软雅黑"/>
          <w:lang w:val="en-US" w:eastAsia="zh-CN"/>
        </w:rPr>
      </w:pPr>
      <w:bookmarkStart w:id="9" w:name="_Toc12722"/>
      <w:r>
        <w:rPr>
          <w:rFonts w:hint="eastAsia" w:ascii="微软雅黑" w:hAnsi="微软雅黑" w:eastAsia="微软雅黑" w:cs="微软雅黑"/>
          <w:rtl w:val="0"/>
        </w:rPr>
        <w:t xml:space="preserve">3.5 </w:t>
      </w:r>
      <w:bookmarkEnd w:id="9"/>
      <w:r>
        <w:rPr>
          <w:rFonts w:hint="eastAsia" w:ascii="微软雅黑" w:hAnsi="微软雅黑" w:eastAsia="微软雅黑" w:cs="微软雅黑"/>
          <w:rtl w:val="0"/>
          <w:lang w:val="en-US" w:eastAsia="zh-CN"/>
        </w:rPr>
        <w:t>预印本</w:t>
      </w:r>
    </w:p>
    <w:p w14:paraId="53423645">
      <w:pPr>
        <w:pStyle w:val="6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根据研究兴趣，速刷</w:t>
      </w:r>
      <w:r>
        <w:rPr>
          <w:rFonts w:hint="eastAsia" w:ascii="微软雅黑" w:hAnsi="微软雅黑" w:eastAsia="微软雅黑" w:cs="微软雅黑"/>
          <w:rtl w:val="0"/>
          <w:lang w:val="en-US" w:eastAsia="zh-CN"/>
        </w:rPr>
        <w:t>预印本</w:t>
      </w:r>
      <w:r>
        <w:rPr>
          <w:rFonts w:hint="eastAsia" w:ascii="微软雅黑" w:hAnsi="微软雅黑" w:eastAsia="微软雅黑" w:cs="微软雅黑"/>
          <w:rtl w:val="0"/>
        </w:rPr>
        <w:t>论文</w:t>
      </w:r>
    </w:p>
    <w:p w14:paraId="15C1A665">
      <w:pPr>
        <w:pStyle w:val="6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（1）新增兴趣领域，根据自己的研究方向追踪</w:t>
      </w:r>
      <w:r>
        <w:rPr>
          <w:rFonts w:hint="eastAsia" w:ascii="微软雅黑" w:hAnsi="微软雅黑" w:eastAsia="微软雅黑" w:cs="微软雅黑"/>
          <w:rtl w:val="0"/>
          <w:lang w:val="en-US" w:eastAsia="zh-CN"/>
        </w:rPr>
        <w:t>预印本</w:t>
      </w:r>
      <w:bookmarkStart w:id="16" w:name="_GoBack"/>
      <w:bookmarkEnd w:id="16"/>
      <w:r>
        <w:rPr>
          <w:rFonts w:hint="eastAsia" w:ascii="微软雅黑" w:hAnsi="微软雅黑" w:eastAsia="微软雅黑" w:cs="微软雅黑"/>
          <w:rtl w:val="0"/>
        </w:rPr>
        <w:t>的领域</w:t>
      </w:r>
    </w:p>
    <w:p w14:paraId="440F4D93">
      <w:pPr>
        <w:pStyle w:val="6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drawing>
          <wp:inline distT="0" distB="0" distL="114300" distR="114300">
            <wp:extent cx="5029200" cy="2385695"/>
            <wp:effectExtent l="0" t="0" r="0" b="14605"/>
            <wp:docPr id="112" name="Drawing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Drawing 1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1A370">
      <w:pPr>
        <w:pStyle w:val="6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（2）根据领域，推送相关的预印本资源</w:t>
      </w:r>
    </w:p>
    <w:p w14:paraId="2DCAED79">
      <w:pPr>
        <w:pStyle w:val="6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（3）AI速览：针对推送的资源进行总结阅读，进行论文速刷</w:t>
      </w:r>
    </w:p>
    <w:p w14:paraId="3A5EE18A">
      <w:pPr>
        <w:pStyle w:val="6"/>
        <w:spacing w:line="240" w:lineRule="auto"/>
        <w:rPr>
          <w:rFonts w:hint="eastAsia" w:ascii="微软雅黑" w:hAnsi="微软雅黑" w:eastAsia="微软雅黑" w:cs="微软雅黑"/>
        </w:rPr>
      </w:pPr>
    </w:p>
    <w:p w14:paraId="1C932D53">
      <w:pPr>
        <w:pStyle w:val="6"/>
        <w:spacing w:line="240" w:lineRule="auto"/>
        <w:rPr>
          <w:rFonts w:hint="eastAsia" w:ascii="微软雅黑" w:hAnsi="微软雅黑" w:eastAsia="微软雅黑" w:cs="微软雅黑"/>
        </w:rPr>
      </w:pPr>
    </w:p>
    <w:p w14:paraId="025DD793">
      <w:pPr>
        <w:pStyle w:val="9"/>
        <w:spacing w:line="360" w:lineRule="auto"/>
        <w:rPr>
          <w:rFonts w:hint="eastAsia" w:ascii="微软雅黑" w:hAnsi="微软雅黑" w:eastAsia="微软雅黑" w:cs="微软雅黑"/>
        </w:rPr>
      </w:pPr>
      <w:bookmarkStart w:id="10" w:name="_Toc4532"/>
      <w:r>
        <w:rPr>
          <w:rFonts w:hint="eastAsia" w:ascii="微软雅黑" w:hAnsi="微软雅黑" w:eastAsia="微软雅黑" w:cs="微软雅黑"/>
          <w:rtl w:val="0"/>
        </w:rPr>
        <w:t>4.AI知识库</w:t>
      </w:r>
      <w:bookmarkEnd w:id="10"/>
    </w:p>
    <w:p w14:paraId="64923825">
      <w:pPr>
        <w:pStyle w:val="10"/>
        <w:spacing w:line="360" w:lineRule="auto"/>
        <w:rPr>
          <w:rFonts w:hint="eastAsia" w:ascii="微软雅黑" w:hAnsi="微软雅黑" w:eastAsia="微软雅黑" w:cs="微软雅黑"/>
        </w:rPr>
      </w:pPr>
      <w:bookmarkStart w:id="11" w:name="_Toc27532"/>
      <w:r>
        <w:rPr>
          <w:rFonts w:hint="eastAsia" w:ascii="微软雅黑" w:hAnsi="微软雅黑" w:eastAsia="微软雅黑" w:cs="微软雅黑"/>
          <w:rtl w:val="0"/>
        </w:rPr>
        <w:t>4.1公共AI知识库</w:t>
      </w:r>
      <w:bookmarkEnd w:id="11"/>
    </w:p>
    <w:p w14:paraId="7BE9826C">
      <w:pPr>
        <w:pStyle w:val="6"/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展示该机构建立、订阅的公共AI知识库，点击【对话】，进入知识库问答页面，对AI知识库进行问答</w:t>
      </w:r>
    </w:p>
    <w:p w14:paraId="6D31A2E9">
      <w:pPr>
        <w:pStyle w:val="6"/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drawing>
          <wp:inline distT="0" distB="0" distL="114300" distR="114300">
            <wp:extent cx="5029200" cy="2385695"/>
            <wp:effectExtent l="0" t="0" r="0" b="14605"/>
            <wp:docPr id="126" name="Drawing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Drawing 1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4D1FD">
      <w:pPr>
        <w:pStyle w:val="10"/>
        <w:spacing w:line="360" w:lineRule="auto"/>
        <w:rPr>
          <w:rFonts w:hint="eastAsia" w:ascii="微软雅黑" w:hAnsi="微软雅黑" w:eastAsia="微软雅黑" w:cs="微软雅黑"/>
        </w:rPr>
      </w:pPr>
      <w:bookmarkStart w:id="12" w:name="_Toc665"/>
      <w:r>
        <w:rPr>
          <w:rFonts w:hint="eastAsia" w:ascii="微软雅黑" w:hAnsi="微软雅黑" w:eastAsia="微软雅黑" w:cs="微软雅黑"/>
          <w:rtl w:val="0"/>
        </w:rPr>
        <w:t>4.2 机构AI知识库</w:t>
      </w:r>
      <w:bookmarkEnd w:id="12"/>
    </w:p>
    <w:p w14:paraId="4F4E4581">
      <w:pPr>
        <w:pStyle w:val="6"/>
        <w:numPr>
          <w:ilvl w:val="0"/>
          <w:numId w:val="1"/>
        </w:numPr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单位已开通机构AI知识库的情况下，展示机构下的特色资源库</w:t>
      </w:r>
    </w:p>
    <w:p w14:paraId="787CC31C">
      <w:pPr>
        <w:pStyle w:val="6"/>
        <w:numPr>
          <w:ilvl w:val="0"/>
          <w:numId w:val="1"/>
        </w:numPr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点击【对话】，对机构知识库进行对话</w:t>
      </w:r>
    </w:p>
    <w:p w14:paraId="7D302DEB">
      <w:pPr>
        <w:pStyle w:val="6"/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drawing>
          <wp:inline distT="0" distB="0" distL="114300" distR="114300">
            <wp:extent cx="5029200" cy="2385695"/>
            <wp:effectExtent l="0" t="0" r="0" b="14605"/>
            <wp:docPr id="134" name="Drawing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Drawing 1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62E43">
      <w:pPr>
        <w:pStyle w:val="6"/>
        <w:spacing w:line="360" w:lineRule="auto"/>
        <w:rPr>
          <w:rFonts w:hint="eastAsia" w:ascii="微软雅黑" w:hAnsi="微软雅黑" w:eastAsia="微软雅黑" w:cs="微软雅黑"/>
        </w:rPr>
      </w:pPr>
    </w:p>
    <w:p w14:paraId="0B5A1AB1">
      <w:pPr>
        <w:pStyle w:val="9"/>
        <w:spacing w:line="360" w:lineRule="auto"/>
        <w:rPr>
          <w:rFonts w:hint="eastAsia" w:ascii="微软雅黑" w:hAnsi="微软雅黑" w:eastAsia="微软雅黑" w:cs="微软雅黑"/>
        </w:rPr>
      </w:pPr>
      <w:bookmarkStart w:id="13" w:name="_Toc22823"/>
      <w:r>
        <w:rPr>
          <w:rFonts w:hint="eastAsia" w:ascii="微软雅黑" w:hAnsi="微软雅黑" w:eastAsia="微软雅黑" w:cs="微软雅黑"/>
          <w:rtl w:val="0"/>
        </w:rPr>
        <w:t>5.AI应用</w:t>
      </w:r>
      <w:bookmarkEnd w:id="13"/>
    </w:p>
    <w:p w14:paraId="3FB026F3">
      <w:pPr>
        <w:pStyle w:val="6"/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2"/>
          <w:szCs w:val="22"/>
          <w:rtl w:val="0"/>
        </w:rPr>
        <w:t>集成辅助科研、学习的应用工具，支持按分类查看AI应用，支持点击一键跳转使用，支持收藏到我的应用，并通过首页快捷访问。</w:t>
      </w:r>
    </w:p>
    <w:p w14:paraId="42DD8AF2">
      <w:pPr>
        <w:pStyle w:val="6"/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drawing>
          <wp:inline distT="0" distB="0" distL="114300" distR="114300">
            <wp:extent cx="5029200" cy="2385695"/>
            <wp:effectExtent l="0" t="0" r="0" b="14605"/>
            <wp:docPr id="142" name="Drawing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Drawing 1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EC129">
      <w:pPr>
        <w:pStyle w:val="9"/>
        <w:spacing w:line="360" w:lineRule="auto"/>
        <w:rPr>
          <w:rFonts w:hint="eastAsia" w:ascii="微软雅黑" w:hAnsi="微软雅黑" w:eastAsia="微软雅黑" w:cs="微软雅黑"/>
        </w:rPr>
      </w:pPr>
      <w:bookmarkStart w:id="14" w:name="_Toc9742"/>
      <w:r>
        <w:rPr>
          <w:rFonts w:hint="eastAsia" w:ascii="微软雅黑" w:hAnsi="微软雅黑" w:eastAsia="微软雅黑" w:cs="微软雅黑"/>
          <w:rtl w:val="0"/>
        </w:rPr>
        <w:t>6.课题</w:t>
      </w:r>
      <w:bookmarkEnd w:id="14"/>
    </w:p>
    <w:p w14:paraId="61EFEDC5">
      <w:pPr>
        <w:pStyle w:val="6"/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（1）创建课题：支持创建课题，成立课题组，组内成员研究成果进行共享、协作</w:t>
      </w:r>
    </w:p>
    <w:p w14:paraId="3A4CB5C6">
      <w:pPr>
        <w:pStyle w:val="6"/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（2）成立课题组成员</w:t>
      </w:r>
    </w:p>
    <w:p w14:paraId="434ADB18">
      <w:pPr>
        <w:pStyle w:val="6"/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drawing>
          <wp:inline distT="0" distB="0" distL="114300" distR="114300">
            <wp:extent cx="5029200" cy="2385695"/>
            <wp:effectExtent l="0" t="0" r="0" b="14605"/>
            <wp:docPr id="151" name="Drawing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Drawing 1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03AD6">
      <w:pPr>
        <w:pStyle w:val="6"/>
        <w:spacing w:line="360" w:lineRule="auto"/>
        <w:rPr>
          <w:rFonts w:hint="eastAsia" w:ascii="微软雅黑" w:hAnsi="微软雅黑" w:eastAsia="微软雅黑" w:cs="微软雅黑"/>
        </w:rPr>
      </w:pPr>
    </w:p>
    <w:p w14:paraId="047B91E9">
      <w:pPr>
        <w:pStyle w:val="6"/>
        <w:spacing w:line="360" w:lineRule="auto"/>
        <w:rPr>
          <w:rFonts w:hint="eastAsia" w:ascii="微软雅黑" w:hAnsi="微软雅黑" w:eastAsia="微软雅黑" w:cs="微软雅黑"/>
        </w:rPr>
      </w:pPr>
    </w:p>
    <w:p w14:paraId="4478D1C7">
      <w:pPr>
        <w:pStyle w:val="9"/>
        <w:spacing w:line="360" w:lineRule="auto"/>
        <w:rPr>
          <w:rFonts w:hint="eastAsia" w:ascii="微软雅黑" w:hAnsi="微软雅黑" w:eastAsia="微软雅黑" w:cs="微软雅黑"/>
        </w:rPr>
      </w:pPr>
      <w:bookmarkStart w:id="15" w:name="_Toc8854"/>
      <w:r>
        <w:rPr>
          <w:rFonts w:hint="eastAsia" w:ascii="微软雅黑" w:hAnsi="微软雅黑" w:eastAsia="微软雅黑" w:cs="微软雅黑"/>
          <w:rtl w:val="0"/>
        </w:rPr>
        <w:t>7.工作集</w:t>
      </w:r>
      <w:bookmarkEnd w:id="15"/>
    </w:p>
    <w:p w14:paraId="79EDC98F">
      <w:pPr>
        <w:pStyle w:val="6"/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（1）支持课题组管理团队成果，可进行上传或者检索资源。同时支持个人阅读清单管理</w:t>
      </w:r>
    </w:p>
    <w:p w14:paraId="225C9396">
      <w:pPr>
        <w:pStyle w:val="6"/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（2）可对资源进行快速对话，获取文章的研究成果、研究方向、核心方法等</w:t>
      </w:r>
    </w:p>
    <w:p w14:paraId="78E7F7E7">
      <w:pPr>
        <w:pStyle w:val="6"/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drawing>
          <wp:inline distT="0" distB="0" distL="114300" distR="114300">
            <wp:extent cx="5029200" cy="2385695"/>
            <wp:effectExtent l="0" t="0" r="0" b="14605"/>
            <wp:docPr id="162" name="Drawing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Drawing 1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CB28F">
      <w:pPr>
        <w:pStyle w:val="6"/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（3）支持对文章进行阅读</w:t>
      </w:r>
    </w:p>
    <w:p w14:paraId="24A5FCDF">
      <w:pPr>
        <w:pStyle w:val="6"/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drawing>
          <wp:inline distT="0" distB="0" distL="114300" distR="114300">
            <wp:extent cx="5029200" cy="2385695"/>
            <wp:effectExtent l="0" t="0" r="0" b="14605"/>
            <wp:docPr id="166" name="Drawing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Drawing 2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A9B23">
      <w:pPr>
        <w:pStyle w:val="6"/>
        <w:numPr>
          <w:ilvl w:val="0"/>
          <w:numId w:val="2"/>
        </w:numPr>
        <w:spacing w:line="360" w:lineRule="auto"/>
        <w:ind w:left="420" w:leftChars="0" w:hanging="42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支持快速获取，文章的摘要、研究方法、关键要点</w:t>
      </w:r>
    </w:p>
    <w:p w14:paraId="1655C01D">
      <w:pPr>
        <w:pStyle w:val="6"/>
        <w:numPr>
          <w:ilvl w:val="0"/>
          <w:numId w:val="2"/>
        </w:numPr>
        <w:spacing w:line="360" w:lineRule="auto"/>
        <w:ind w:left="420" w:leftChars="0" w:hanging="42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支持对文章内容进行提问，翻译、解释</w:t>
      </w:r>
    </w:p>
    <w:p w14:paraId="37D6BA41">
      <w:pPr>
        <w:pStyle w:val="6"/>
        <w:numPr>
          <w:ilvl w:val="0"/>
          <w:numId w:val="2"/>
        </w:numPr>
        <w:spacing w:line="360" w:lineRule="auto"/>
        <w:ind w:left="420" w:leftChars="0" w:hanging="42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支持一键生成文章的思维导图</w:t>
      </w:r>
    </w:p>
    <w:p w14:paraId="080746FB">
      <w:pPr>
        <w:pStyle w:val="6"/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（4）支持多篇文章对话</w:t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YaHei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6225C3"/>
    <w:multiLevelType w:val="singleLevel"/>
    <w:tmpl w:val="FC6225C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0053208E"/>
    <w:multiLevelType w:val="multilevel"/>
    <w:tmpl w:val="0053208E"/>
    <w:lvl w:ilvl="0" w:tentative="0">
      <w:start w:val="1"/>
      <w:numFmt w:val="bullet"/>
      <w:lvlText w:val=""/>
      <w:lvlJc w:val="left"/>
      <w:pPr>
        <w:ind w:left="420" w:hanging="420"/>
      </w:pPr>
      <w:rPr>
        <w:rFonts w:ascii="Wingdings" w:hAnsi="Wingdings"/>
      </w:rPr>
    </w:lvl>
    <w:lvl w:ilvl="1" w:tentative="0">
      <w:start w:val="1"/>
      <w:numFmt w:val="bullet"/>
      <w:lvlText w:val=""/>
      <w:lvlJc w:val="left"/>
      <w:pPr>
        <w:ind w:left="840" w:hanging="420"/>
      </w:pPr>
      <w:rPr>
        <w:rFonts w:ascii="Wingdings" w:hAnsi="Wingdings"/>
      </w:rPr>
    </w:lvl>
    <w:lvl w:ilvl="2" w:tentative="0">
      <w:start w:val="1"/>
      <w:numFmt w:val="bullet"/>
      <w:lvlText w:val=""/>
      <w:lvlJc w:val="left"/>
      <w:pPr>
        <w:ind w:left="1260" w:hanging="420"/>
      </w:pPr>
      <w:rPr>
        <w:rFonts w:ascii="Wingdings" w:hAnsi="Wingdings"/>
      </w:rPr>
    </w:lvl>
    <w:lvl w:ilvl="3" w:tentative="0">
      <w:start w:val="1"/>
      <w:numFmt w:val="bullet"/>
      <w:lvlText w:val=""/>
      <w:lvlJc w:val="left"/>
      <w:pPr>
        <w:ind w:left="1680" w:hanging="420"/>
      </w:pPr>
      <w:rPr>
        <w:rFonts w:ascii="Wingdings" w:hAnsi="Wingdings"/>
      </w:rPr>
    </w:lvl>
    <w:lvl w:ilvl="4" w:tentative="0">
      <w:start w:val="1"/>
      <w:numFmt w:val="bullet"/>
      <w:lvlText w:val=""/>
      <w:lvlJc w:val="left"/>
      <w:pPr>
        <w:ind w:left="2100" w:hanging="420"/>
      </w:pPr>
      <w:rPr>
        <w:rFonts w:ascii="Wingdings" w:hAnsi="Wingdings"/>
      </w:rPr>
    </w:lvl>
    <w:lvl w:ilvl="5" w:tentative="0">
      <w:start w:val="1"/>
      <w:numFmt w:val="bullet"/>
      <w:lvlText w:val=""/>
      <w:lvlJc w:val="left"/>
      <w:pPr>
        <w:ind w:left="2520" w:hanging="420"/>
      </w:pPr>
      <w:rPr>
        <w:rFonts w:ascii="Wingdings" w:hAnsi="Wingdings"/>
      </w:rPr>
    </w:lvl>
    <w:lvl w:ilvl="6" w:tentative="0">
      <w:start w:val="1"/>
      <w:numFmt w:val="bullet"/>
      <w:lvlText w:val=""/>
      <w:lvlJc w:val="left"/>
      <w:pPr>
        <w:ind w:left="2940" w:hanging="420"/>
      </w:pPr>
      <w:rPr>
        <w:rFonts w:ascii="Wingdings" w:hAnsi="Wingdings"/>
      </w:rPr>
    </w:lvl>
    <w:lvl w:ilvl="7" w:tentative="0">
      <w:start w:val="1"/>
      <w:numFmt w:val="bullet"/>
      <w:lvlText w:val=""/>
      <w:lvlJc w:val="left"/>
      <w:pPr>
        <w:ind w:left="3360" w:hanging="420"/>
      </w:pPr>
      <w:rPr>
        <w:rFonts w:ascii="Wingdings" w:hAnsi="Wingdings"/>
      </w:rPr>
    </w:lvl>
    <w:lvl w:ilvl="8" w:tentative="0">
      <w:start w:val="1"/>
      <w:numFmt w:val="bullet"/>
      <w:lvlText w:val=""/>
      <w:lvlJc w:val="left"/>
      <w:pPr>
        <w:ind w:left="3780" w:hanging="420"/>
      </w:pPr>
      <w:rPr>
        <w:rFonts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compat>
    <w:useFELayout/>
    <w:splitPgBreakAndParaMark/>
    <w:compatSetting w:name="compatibilityMode" w:uri="http://schemas.microsoft.com/office/word" w:val="12"/>
  </w:compat>
  <w:rsids>
    <w:rsidRoot w:val="00000000"/>
    <w:rsid w:val="05AA6F30"/>
    <w:rsid w:val="3A7819DB"/>
    <w:rsid w:val="4C16630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 Unicode MS" w:hAnsi="Arial Unicode MS" w:eastAsia="MicrosoftYaHei" w:cs="Arial Unicode MS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 Unicode MS" w:hAnsi="Arial Unicode MS" w:eastAsia="MicrosoftYaHei" w:cs="Arial Unicode MS"/>
      <w:sz w:val="2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3"/>
    <w:basedOn w:val="1"/>
    <w:next w:val="1"/>
    <w:uiPriority w:val="0"/>
    <w:pPr>
      <w:ind w:left="840" w:leftChars="400"/>
    </w:pPr>
  </w:style>
  <w:style w:type="paragraph" w:styleId="3">
    <w:name w:val="toc 2"/>
    <w:basedOn w:val="1"/>
    <w:next w:val="1"/>
    <w:uiPriority w:val="0"/>
    <w:pPr>
      <w:ind w:left="420" w:leftChars="200"/>
    </w:pPr>
  </w:style>
  <w:style w:type="paragraph" w:customStyle="1" w:styleId="6">
    <w:name w:val="石墨文档正文"/>
    <w:qFormat/>
    <w:uiPriority w:val="0"/>
    <w:rPr>
      <w:rFonts w:ascii="Arial Unicode MS" w:hAnsi="Arial Unicode MS" w:eastAsia="MicrosoftYaHei" w:cs="Arial Unicode MS"/>
      <w:sz w:val="22"/>
      <w:szCs w:val="22"/>
    </w:rPr>
  </w:style>
  <w:style w:type="paragraph" w:customStyle="1" w:styleId="7">
    <w:name w:val="石墨文档标题"/>
    <w:next w:val="6"/>
    <w:unhideWhenUsed/>
    <w:qFormat/>
    <w:uiPriority w:val="9"/>
    <w:pPr>
      <w:spacing w:before="260" w:after="260"/>
      <w:outlineLvl w:val="0"/>
    </w:pPr>
    <w:rPr>
      <w:rFonts w:ascii="Arial Unicode MS" w:hAnsi="Arial Unicode MS" w:eastAsia="MicrosoftYaHei" w:cs="Arial Unicode MS"/>
      <w:b/>
      <w:bCs/>
      <w:sz w:val="40"/>
      <w:szCs w:val="40"/>
    </w:rPr>
  </w:style>
  <w:style w:type="paragraph" w:customStyle="1" w:styleId="8">
    <w:name w:val="石墨文档副标题"/>
    <w:qFormat/>
    <w:uiPriority w:val="0"/>
    <w:pPr>
      <w:spacing w:before="260" w:after="260"/>
    </w:pPr>
    <w:rPr>
      <w:rFonts w:ascii="Arial Unicode MS" w:hAnsi="Arial Unicode MS" w:eastAsia="MicrosoftYaHei" w:cs="Arial Unicode MS"/>
      <w:color w:val="888888"/>
      <w:sz w:val="36"/>
      <w:szCs w:val="36"/>
    </w:rPr>
  </w:style>
  <w:style w:type="paragraph" w:customStyle="1" w:styleId="9">
    <w:name w:val="石墨文档标题 1"/>
    <w:next w:val="6"/>
    <w:unhideWhenUsed/>
    <w:qFormat/>
    <w:uiPriority w:val="9"/>
    <w:pPr>
      <w:spacing w:before="260" w:after="260"/>
      <w:outlineLvl w:val="1"/>
    </w:pPr>
    <w:rPr>
      <w:rFonts w:ascii="Arial Unicode MS" w:hAnsi="Arial Unicode MS" w:eastAsia="MicrosoftYaHei" w:cs="Arial Unicode MS"/>
      <w:b/>
      <w:bCs/>
      <w:sz w:val="32"/>
      <w:szCs w:val="32"/>
    </w:rPr>
  </w:style>
  <w:style w:type="paragraph" w:customStyle="1" w:styleId="10">
    <w:name w:val="石墨文档标题 2"/>
    <w:next w:val="6"/>
    <w:unhideWhenUsed/>
    <w:qFormat/>
    <w:uiPriority w:val="9"/>
    <w:pPr>
      <w:spacing w:before="260" w:after="260"/>
      <w:outlineLvl w:val="2"/>
    </w:pPr>
    <w:rPr>
      <w:rFonts w:ascii="Arial Unicode MS" w:hAnsi="Arial Unicode MS" w:eastAsia="MicrosoftYaHei" w:cs="Arial Unicode MS"/>
      <w:b/>
      <w:bCs/>
      <w:sz w:val="28"/>
      <w:szCs w:val="28"/>
    </w:rPr>
  </w:style>
  <w:style w:type="paragraph" w:customStyle="1" w:styleId="11">
    <w:name w:val="石墨文档标题 3"/>
    <w:next w:val="6"/>
    <w:unhideWhenUsed/>
    <w:qFormat/>
    <w:uiPriority w:val="9"/>
    <w:pPr>
      <w:spacing w:before="260" w:after="260"/>
      <w:outlineLvl w:val="3"/>
    </w:pPr>
    <w:rPr>
      <w:rFonts w:ascii="Arial Unicode MS" w:hAnsi="Arial Unicode MS" w:eastAsia="MicrosoftYaHei" w:cs="Arial Unicode MS"/>
      <w:b/>
      <w:bCs/>
      <w:sz w:val="26"/>
      <w:szCs w:val="26"/>
    </w:rPr>
  </w:style>
  <w:style w:type="paragraph" w:customStyle="1" w:styleId="12">
    <w:name w:val="石墨文档标题 4"/>
    <w:next w:val="6"/>
    <w:unhideWhenUsed/>
    <w:qFormat/>
    <w:uiPriority w:val="9"/>
    <w:pPr>
      <w:spacing w:before="260" w:after="260"/>
      <w:outlineLvl w:val="4"/>
    </w:pPr>
    <w:rPr>
      <w:rFonts w:ascii="Arial Unicode MS" w:hAnsi="Arial Unicode MS" w:eastAsia="MicrosoftYaHei" w:cs="Arial Unicode MS"/>
      <w:b/>
      <w:bCs/>
      <w:sz w:val="24"/>
      <w:szCs w:val="24"/>
    </w:rPr>
  </w:style>
  <w:style w:type="paragraph" w:customStyle="1" w:styleId="13">
    <w:name w:val="石墨文档标题 5"/>
    <w:next w:val="6"/>
    <w:unhideWhenUsed/>
    <w:qFormat/>
    <w:uiPriority w:val="9"/>
    <w:pPr>
      <w:spacing w:before="260" w:after="260"/>
      <w:outlineLvl w:val="5"/>
    </w:pPr>
    <w:rPr>
      <w:rFonts w:ascii="Arial Unicode MS" w:hAnsi="Arial Unicode MS" w:eastAsia="MicrosoftYaHei" w:cs="Arial Unicode MS"/>
      <w:b/>
      <w:bCs/>
      <w:sz w:val="22"/>
      <w:szCs w:val="22"/>
    </w:rPr>
  </w:style>
  <w:style w:type="paragraph" w:customStyle="1" w:styleId="14">
    <w:name w:val="石墨文档标题 6"/>
    <w:next w:val="6"/>
    <w:unhideWhenUsed/>
    <w:qFormat/>
    <w:uiPriority w:val="9"/>
    <w:pPr>
      <w:spacing w:before="260" w:after="260"/>
      <w:outlineLvl w:val="6"/>
    </w:pPr>
    <w:rPr>
      <w:rFonts w:ascii="Arial Unicode MS" w:hAnsi="Arial Unicode MS" w:eastAsia="MicrosoftYaHei" w:cs="Arial Unicode MS"/>
      <w:b/>
      <w:bCs/>
      <w:sz w:val="22"/>
      <w:szCs w:val="22"/>
    </w:rPr>
  </w:style>
  <w:style w:type="paragraph" w:customStyle="1" w:styleId="15">
    <w:name w:val="石墨文档引用"/>
    <w:qFormat/>
    <w:uiPriority w:val="0"/>
    <w:pPr>
      <w:pBdr>
        <w:left w:val="single" w:color="F0F0F0" w:sz="30" w:space="10"/>
      </w:pBdr>
    </w:pPr>
    <w:rPr>
      <w:rFonts w:ascii="Arial Unicode MS" w:hAnsi="Arial Unicode MS" w:eastAsia="MicrosoftYaHei" w:cs="Arial Unicode MS"/>
      <w:color w:val="ADADAD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13</Pages>
  <Words>1456</Words>
  <Characters>1599</Characters>
  <TotalTime>17</TotalTime>
  <ScaleCrop>false</ScaleCrop>
  <LinksUpToDate>false</LinksUpToDate>
  <CharactersWithSpaces>1629</CharactersWithSpaces>
  <Application>WPS Office_12.1.0.22529_F1E327BC-269C-435d-A152-05C5408002CA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2025-09-02T13:56:00Z</dcterms:created>
  <dc:creator>15096</dc:creator>
  <cp:lastModifiedBy>zly</cp:lastModifiedBy>
  <dcterms:modified xsi:type="dcterms:W3CDTF">2025-09-29T09:11:49Z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eyJoZGlkIjoiMWMyM2ZmYWYyODlkMDMyZGJkODNhZmQ0YmRhYzQyYTgiLCJ1c2VySWQiOiI1NzI3MDYyMzcifQ==</vt:lpwstr>
  </property>
  <property fmtid="{D5CDD505-2E9C-101B-9397-08002B2CF9AE}" pid="3" name="KSOProductBuildVer">
    <vt:lpwstr>2052-12.1.0.22529</vt:lpwstr>
  </property>
  <property fmtid="{D5CDD505-2E9C-101B-9397-08002B2CF9AE}" pid="4" name="ICV">
    <vt:lpwstr>16D68550FCC84BE4989511DE99ED32C5_12</vt:lpwstr>
  </property>
</Properties>
</file>