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E9B03">
      <w:pPr>
        <w:pStyle w:val="2"/>
        <w:rPr>
          <w:rFonts w:hint="eastAsia"/>
          <w:sz w:val="20"/>
        </w:rPr>
      </w:pPr>
    </w:p>
    <w:p w14:paraId="1027602F">
      <w:pPr>
        <w:pStyle w:val="2"/>
        <w:rPr>
          <w:rFonts w:hint="eastAsia"/>
          <w:sz w:val="20"/>
        </w:rPr>
      </w:pPr>
    </w:p>
    <w:p w14:paraId="648E55A4">
      <w:pPr>
        <w:pStyle w:val="2"/>
        <w:rPr>
          <w:rFonts w:hint="eastAsia"/>
          <w:sz w:val="20"/>
        </w:rPr>
      </w:pPr>
    </w:p>
    <w:p w14:paraId="387EA103">
      <w:pPr>
        <w:pStyle w:val="2"/>
        <w:rPr>
          <w:rFonts w:hint="eastAsia"/>
          <w:sz w:val="20"/>
        </w:rPr>
      </w:pPr>
    </w:p>
    <w:p w14:paraId="6B3FB016">
      <w:pPr>
        <w:pStyle w:val="2"/>
        <w:rPr>
          <w:rFonts w:hint="eastAsia"/>
          <w:sz w:val="20"/>
        </w:rPr>
      </w:pPr>
    </w:p>
    <w:p w14:paraId="2D338735">
      <w:pPr>
        <w:pStyle w:val="2"/>
        <w:spacing w:before="8"/>
        <w:rPr>
          <w:rFonts w:hint="eastAsia"/>
          <w:sz w:val="27"/>
        </w:rPr>
      </w:pPr>
    </w:p>
    <w:p w14:paraId="11C161FA">
      <w:pPr>
        <w:pStyle w:val="11"/>
        <w:spacing w:line="1059" w:lineRule="exact"/>
        <w:rPr>
          <w:rFonts w:hint="eastAsia"/>
        </w:rPr>
      </w:pPr>
      <w:r>
        <w:t>网上比选项目</w:t>
      </w:r>
    </w:p>
    <w:p w14:paraId="3FBA5478">
      <w:pPr>
        <w:spacing w:before="171"/>
        <w:ind w:left="1077" w:right="1081"/>
        <w:jc w:val="center"/>
        <w:rPr>
          <w:rFonts w:hint="eastAsia" w:ascii="黑体" w:eastAsia="黑体"/>
          <w:b/>
          <w:sz w:val="84"/>
        </w:rPr>
      </w:pPr>
      <w:r>
        <w:rPr>
          <w:rFonts w:hint="eastAsia" w:ascii="黑体" w:eastAsia="黑体"/>
          <w:b/>
          <w:sz w:val="84"/>
        </w:rPr>
        <w:t>采购文件</w:t>
      </w:r>
    </w:p>
    <w:p w14:paraId="3AA2DCBF">
      <w:pPr>
        <w:pStyle w:val="2"/>
        <w:rPr>
          <w:rFonts w:hint="eastAsia" w:ascii="黑体"/>
          <w:b/>
          <w:sz w:val="84"/>
        </w:rPr>
      </w:pPr>
    </w:p>
    <w:p w14:paraId="7C170B71">
      <w:pPr>
        <w:pStyle w:val="2"/>
        <w:spacing w:before="12"/>
        <w:rPr>
          <w:rFonts w:hint="eastAsia" w:ascii="黑体"/>
          <w:b/>
          <w:sz w:val="119"/>
        </w:rPr>
      </w:pPr>
    </w:p>
    <w:p w14:paraId="46D69E2A">
      <w:pPr>
        <w:tabs>
          <w:tab w:val="left" w:pos="7645"/>
        </w:tabs>
        <w:ind w:left="2916" w:leftChars="340" w:hanging="2168" w:hangingChars="600"/>
        <w:jc w:val="left"/>
        <w:rPr>
          <w:rFonts w:hint="default" w:ascii="Times New Roman" w:eastAsia="Times New Roman"/>
          <w:sz w:val="36"/>
          <w:u w:val="single"/>
          <w:lang w:val="en-US"/>
        </w:rPr>
      </w:pPr>
      <w:r>
        <w:rPr>
          <w:b/>
          <w:sz w:val="36"/>
        </w:rPr>
        <w:t>项目名称</w:t>
      </w:r>
      <w:r>
        <w:rPr>
          <w:rFonts w:ascii="Times New Roman" w:eastAsia="Times New Roman"/>
          <w:b/>
          <w:sz w:val="36"/>
        </w:rPr>
        <w:t>:</w:t>
      </w:r>
      <w:r>
        <w:rPr>
          <w:rFonts w:hint="eastAsia" w:ascii="Times New Roman" w:eastAsia="宋体"/>
          <w:b/>
          <w:sz w:val="36"/>
          <w:lang w:val="en-US" w:eastAsia="zh-CN"/>
        </w:rPr>
        <w:t xml:space="preserve">   </w:t>
      </w:r>
      <w:r>
        <w:rPr>
          <w:rFonts w:hint="eastAsia" w:ascii="Times New Roman" w:eastAsia="宋体"/>
          <w:b/>
          <w:sz w:val="36"/>
          <w:u w:val="single"/>
          <w:lang w:val="en-US" w:eastAsia="zh-CN"/>
        </w:rPr>
        <w:t xml:space="preserve">  宁德职业技术学院教务综合管理平台（2026年）维保项目</w:t>
      </w:r>
      <w:r>
        <w:rPr>
          <w:rFonts w:hint="eastAsia" w:ascii="Times New Roman" w:eastAsia="宋体"/>
          <w:sz w:val="36"/>
          <w:u w:val="single"/>
          <w:lang w:val="en-US" w:eastAsia="zh-CN"/>
        </w:rPr>
        <w:t xml:space="preserve"> </w:t>
      </w:r>
    </w:p>
    <w:p w14:paraId="0E31E0C7">
      <w:pPr>
        <w:pStyle w:val="2"/>
        <w:spacing w:before="9"/>
        <w:jc w:val="left"/>
        <w:rPr>
          <w:rFonts w:hint="eastAsia" w:ascii="Times New Roman"/>
          <w:sz w:val="21"/>
        </w:rPr>
      </w:pPr>
    </w:p>
    <w:p w14:paraId="4FF6B0ED">
      <w:pPr>
        <w:spacing w:before="49"/>
        <w:ind w:left="749" w:right="32"/>
        <w:jc w:val="left"/>
        <w:rPr>
          <w:rFonts w:hint="default" w:eastAsia="仿宋_GB2312"/>
          <w:b/>
          <w:sz w:val="36"/>
          <w:lang w:val="en-US" w:eastAsia="zh-CN"/>
        </w:rPr>
      </w:pPr>
      <w:r>
        <w:rPr>
          <w:b/>
          <w:sz w:val="36"/>
        </w:rPr>
        <w:t>经办单位：</w:t>
      </w:r>
      <w:r>
        <w:rPr>
          <w:rFonts w:hint="eastAsia"/>
          <w:b/>
          <w:sz w:val="36"/>
          <w:lang w:val="en-US" w:eastAsia="zh-CN"/>
        </w:rPr>
        <w:t xml:space="preserve"> </w:t>
      </w:r>
      <w:r>
        <w:rPr>
          <w:rFonts w:hint="eastAsia"/>
          <w:b/>
          <w:sz w:val="36"/>
          <w:u w:val="single"/>
          <w:lang w:val="en-US" w:eastAsia="zh-CN"/>
        </w:rPr>
        <w:t xml:space="preserve">     </w:t>
      </w:r>
      <w:r>
        <w:rPr>
          <w:rFonts w:hint="eastAsia"/>
          <w:b/>
          <w:sz w:val="36"/>
          <w:u w:val="single"/>
        </w:rPr>
        <w:t>宁德职业技术学院</w:t>
      </w:r>
      <w:r>
        <w:rPr>
          <w:rFonts w:hint="eastAsia"/>
          <w:b/>
          <w:sz w:val="36"/>
          <w:u w:val="single"/>
          <w:lang w:val="en-US" w:eastAsia="zh-CN"/>
        </w:rPr>
        <w:t xml:space="preserve">           </w:t>
      </w:r>
    </w:p>
    <w:p w14:paraId="14272083">
      <w:pPr>
        <w:pStyle w:val="2"/>
        <w:spacing w:before="7"/>
        <w:jc w:val="left"/>
        <w:rPr>
          <w:rFonts w:hint="eastAsia"/>
          <w:b/>
          <w:sz w:val="19"/>
        </w:rPr>
      </w:pPr>
    </w:p>
    <w:p w14:paraId="367B8D67">
      <w:pPr>
        <w:tabs>
          <w:tab w:val="left" w:pos="8675"/>
        </w:tabs>
        <w:spacing w:before="49"/>
        <w:ind w:firstLine="723" w:firstLineChars="200"/>
        <w:jc w:val="left"/>
        <w:rPr>
          <w:rFonts w:ascii="Times New Roman" w:eastAsia="Times New Roman"/>
          <w:b/>
          <w:sz w:val="36"/>
        </w:rPr>
      </w:pPr>
      <w:r>
        <w:rPr>
          <w:b/>
          <w:sz w:val="36"/>
        </w:rPr>
        <w:t>发布时间：</w:t>
      </w:r>
      <w:r>
        <w:rPr>
          <w:rFonts w:ascii="Times New Roman" w:eastAsia="Times New Roman"/>
          <w:b/>
          <w:sz w:val="36"/>
          <w:u w:val="single"/>
        </w:rPr>
        <w:t xml:space="preserve"> </w:t>
      </w:r>
      <w:r>
        <w:rPr>
          <w:rFonts w:hint="eastAsia" w:ascii="Times New Roman" w:eastAsia="宋体"/>
          <w:b/>
          <w:sz w:val="36"/>
          <w:u w:val="single"/>
          <w:lang w:val="en-US" w:eastAsia="zh-CN"/>
        </w:rPr>
        <w:t xml:space="preserve">             2026年05月0</w:t>
      </w:r>
      <w:bookmarkStart w:id="10" w:name="_GoBack"/>
      <w:bookmarkEnd w:id="10"/>
      <w:r>
        <w:rPr>
          <w:rFonts w:hint="eastAsia" w:ascii="Times New Roman" w:eastAsia="宋体"/>
          <w:b/>
          <w:sz w:val="36"/>
          <w:u w:val="single"/>
          <w:lang w:val="en-US" w:eastAsia="zh-CN"/>
        </w:rPr>
        <w:t>6日</w:t>
      </w:r>
      <w:r>
        <w:rPr>
          <w:rFonts w:ascii="Times New Roman" w:eastAsia="Times New Roman"/>
          <w:b/>
          <w:sz w:val="36"/>
          <w:u w:val="single"/>
        </w:rPr>
        <w:tab/>
      </w:r>
    </w:p>
    <w:p w14:paraId="0265B156">
      <w:pPr>
        <w:rPr>
          <w:rFonts w:ascii="Times New Roman" w:eastAsia="Times New Roman"/>
          <w:sz w:val="36"/>
        </w:rPr>
        <w:sectPr>
          <w:footerReference r:id="rId3" w:type="default"/>
          <w:footerReference r:id="rId4" w:type="even"/>
          <w:pgSz w:w="11910" w:h="16840"/>
          <w:pgMar w:top="1420" w:right="1160" w:bottom="1340" w:left="1160" w:header="0" w:footer="1146" w:gutter="0"/>
          <w:cols w:space="720" w:num="1"/>
        </w:sectPr>
      </w:pPr>
    </w:p>
    <w:p w14:paraId="3DE77E09">
      <w:pPr>
        <w:spacing w:before="15"/>
        <w:ind w:left="749" w:right="747"/>
        <w:jc w:val="center"/>
        <w:rPr>
          <w:rFonts w:hint="eastAsia"/>
          <w:sz w:val="52"/>
        </w:rPr>
      </w:pPr>
      <w:r>
        <w:rPr>
          <w:sz w:val="52"/>
        </w:rPr>
        <w:t>目录</w:t>
      </w:r>
    </w:p>
    <w:p w14:paraId="7CA05E8A">
      <w:pPr>
        <w:pStyle w:val="2"/>
        <w:tabs>
          <w:tab w:val="right" w:leader="dot" w:pos="9485"/>
        </w:tabs>
        <w:spacing w:before="245"/>
        <w:ind w:left="640"/>
        <w:rPr>
          <w:rFonts w:hint="eastAsia"/>
        </w:rPr>
      </w:pPr>
      <w:r>
        <w:fldChar w:fldCharType="begin"/>
      </w:r>
      <w:r>
        <w:instrText xml:space="preserve"> HYPERLINK \l "_bookmark0" </w:instrText>
      </w:r>
      <w:r>
        <w:fldChar w:fldCharType="separate"/>
      </w:r>
      <w:r>
        <w:t>第一部分</w:t>
      </w:r>
      <w:r>
        <w:rPr>
          <w:spacing w:val="160"/>
        </w:rPr>
        <w:t xml:space="preserve"> </w:t>
      </w:r>
      <w:r>
        <w:t>报价供应商须知</w:t>
      </w:r>
      <w:r>
        <w:rPr>
          <w:rFonts w:ascii="Times New Roman" w:eastAsia="Times New Roman"/>
        </w:rPr>
        <w:tab/>
      </w:r>
      <w:r>
        <w:rPr>
          <w:rFonts w:hint="eastAsia" w:eastAsia="宋体"/>
          <w:lang w:val="en-US" w:eastAsia="zh-CN"/>
        </w:rPr>
        <w:t>3</w:t>
      </w:r>
      <w:r>
        <w:rPr>
          <w:rFonts w:hint="eastAsia"/>
        </w:rPr>
        <w:fldChar w:fldCharType="end"/>
      </w:r>
    </w:p>
    <w:p w14:paraId="099A90F5">
      <w:pPr>
        <w:pStyle w:val="2"/>
        <w:tabs>
          <w:tab w:val="right" w:leader="dot" w:pos="9485"/>
        </w:tabs>
        <w:spacing w:before="214"/>
        <w:ind w:left="640"/>
        <w:rPr>
          <w:rFonts w:hint="eastAsia"/>
        </w:rPr>
      </w:pPr>
      <w:r>
        <w:fldChar w:fldCharType="begin"/>
      </w:r>
      <w:r>
        <w:instrText xml:space="preserve"> HYPERLINK \l "_bookmark1" </w:instrText>
      </w:r>
      <w:r>
        <w:fldChar w:fldCharType="separate"/>
      </w:r>
      <w:r>
        <w:t>第二部分</w:t>
      </w:r>
      <w:r>
        <w:rPr>
          <w:spacing w:val="160"/>
        </w:rPr>
        <w:t xml:space="preserve"> </w:t>
      </w:r>
      <w:r>
        <w:t>采购需求书</w:t>
      </w:r>
      <w:r>
        <w:rPr>
          <w:rFonts w:ascii="Times New Roman" w:eastAsia="Times New Roman"/>
        </w:rPr>
        <w:tab/>
      </w:r>
      <w:r>
        <w:rPr>
          <w:rFonts w:hint="eastAsia" w:eastAsia="宋体"/>
          <w:lang w:val="en-US" w:eastAsia="zh-CN"/>
        </w:rPr>
        <w:t>7</w:t>
      </w:r>
      <w:r>
        <w:rPr>
          <w:rFonts w:hint="eastAsia"/>
        </w:rPr>
        <w:fldChar w:fldCharType="end"/>
      </w:r>
    </w:p>
    <w:p w14:paraId="63B5FE62">
      <w:pPr>
        <w:rPr>
          <w:rFonts w:hint="eastAsia" w:ascii="黑体" w:eastAsia="黑体"/>
          <w:spacing w:val="-1"/>
        </w:rPr>
      </w:pPr>
      <w:bookmarkStart w:id="0" w:name="_bookmark0"/>
      <w:bookmarkEnd w:id="0"/>
      <w:r>
        <w:rPr>
          <w:rFonts w:hint="eastAsia" w:ascii="黑体" w:eastAsia="黑体"/>
          <w:spacing w:val="-1"/>
        </w:rPr>
        <w:br w:type="page"/>
      </w:r>
    </w:p>
    <w:p w14:paraId="3BE369D8">
      <w:pPr>
        <w:pStyle w:val="2"/>
        <w:spacing w:line="560" w:lineRule="exact"/>
        <w:jc w:val="center"/>
        <w:rPr>
          <w:rFonts w:hint="eastAsia" w:ascii="黑体" w:eastAsia="黑体"/>
          <w:spacing w:val="-1"/>
        </w:rPr>
      </w:pPr>
      <w:r>
        <w:rPr>
          <w:rFonts w:hint="eastAsia" w:ascii="黑体" w:eastAsia="黑体"/>
          <w:spacing w:val="-1"/>
        </w:rPr>
        <w:t>第一部分</w:t>
      </w:r>
      <w:r>
        <w:rPr>
          <w:rFonts w:ascii="黑体" w:eastAsia="黑体"/>
          <w:spacing w:val="-1"/>
        </w:rPr>
        <w:t xml:space="preserve"> </w:t>
      </w:r>
      <w:r>
        <w:rPr>
          <w:rFonts w:hint="eastAsia" w:ascii="黑体" w:eastAsia="黑体"/>
          <w:spacing w:val="-1"/>
        </w:rPr>
        <w:t>报价供应商须知</w:t>
      </w:r>
    </w:p>
    <w:p w14:paraId="7E8663B9">
      <w:pPr>
        <w:pStyle w:val="2"/>
        <w:spacing w:line="560" w:lineRule="exact"/>
        <w:ind w:firstLine="608" w:firstLineChars="200"/>
        <w:jc w:val="both"/>
        <w:rPr>
          <w:rFonts w:hint="eastAsia"/>
        </w:rPr>
      </w:pPr>
      <w:r>
        <w:rPr>
          <w:w w:val="95"/>
        </w:rPr>
        <w:t>（报价人供应商应认真阅读采购文件中全部内容，并按</w:t>
      </w:r>
      <w:r>
        <w:rPr>
          <w:spacing w:val="1"/>
          <w:w w:val="95"/>
        </w:rPr>
        <w:t xml:space="preserve"> </w:t>
      </w:r>
      <w:r>
        <w:rPr>
          <w:spacing w:val="-18"/>
        </w:rPr>
        <w:t>要求提交报价文件。</w:t>
      </w:r>
      <w:r>
        <w:t>）</w:t>
      </w:r>
    </w:p>
    <w:p w14:paraId="6BEB630F">
      <w:pPr>
        <w:pStyle w:val="2"/>
        <w:spacing w:line="560" w:lineRule="exact"/>
        <w:ind w:firstLine="636" w:firstLineChars="200"/>
        <w:rPr>
          <w:rFonts w:hint="eastAsia" w:ascii="黑体" w:eastAsia="黑体"/>
          <w:spacing w:val="-1"/>
        </w:rPr>
      </w:pPr>
      <w:bookmarkStart w:id="1" w:name="一、采购项目概况"/>
      <w:bookmarkEnd w:id="1"/>
      <w:r>
        <w:rPr>
          <w:rFonts w:hint="eastAsia" w:ascii="黑体" w:eastAsia="黑体"/>
          <w:spacing w:val="-1"/>
        </w:rPr>
        <w:t>一、采购项目概况</w:t>
      </w:r>
    </w:p>
    <w:p w14:paraId="5FD2E008">
      <w:pPr>
        <w:tabs>
          <w:tab w:val="left" w:pos="7645"/>
        </w:tabs>
        <w:ind w:firstLine="608" w:firstLineChars="200"/>
        <w:jc w:val="left"/>
        <w:rPr>
          <w:rFonts w:hint="default" w:ascii="仿宋_GB2312" w:hAnsi="仿宋_GB2312" w:eastAsia="仿宋_GB2312" w:cs="仿宋_GB2312"/>
          <w:w w:val="95"/>
          <w:sz w:val="32"/>
          <w:szCs w:val="32"/>
          <w:lang w:val="en-US" w:eastAsia="zh-CN" w:bidi="ar-SA"/>
        </w:rPr>
      </w:pPr>
      <w:r>
        <w:rPr>
          <w:rFonts w:hint="eastAsia"/>
          <w:w w:val="95"/>
          <w:sz w:val="32"/>
        </w:rPr>
        <w:t>1</w:t>
      </w:r>
      <w:r>
        <w:rPr>
          <w:w w:val="95"/>
          <w:sz w:val="32"/>
        </w:rPr>
        <w:t>.项目名称：</w:t>
      </w:r>
      <w:r>
        <w:rPr>
          <w:rFonts w:hint="eastAsia"/>
          <w:w w:val="95"/>
          <w:sz w:val="32"/>
        </w:rPr>
        <w:t>宁德职业技术学院教务综合管理平台（2026年）维保</w:t>
      </w:r>
    </w:p>
    <w:p w14:paraId="1397F8BE">
      <w:pPr>
        <w:tabs>
          <w:tab w:val="left" w:pos="1603"/>
        </w:tabs>
        <w:spacing w:line="560" w:lineRule="exact"/>
        <w:ind w:firstLine="608" w:firstLineChars="200"/>
        <w:jc w:val="both"/>
        <w:rPr>
          <w:rFonts w:hint="eastAsia" w:eastAsia="仿宋_GB2312"/>
          <w:sz w:val="32"/>
          <w:lang w:val="en-US" w:eastAsia="zh-CN"/>
        </w:rPr>
      </w:pPr>
      <w:r>
        <w:rPr>
          <w:rFonts w:hint="eastAsia"/>
          <w:w w:val="95"/>
          <w:sz w:val="32"/>
        </w:rPr>
        <w:t>2</w:t>
      </w:r>
      <w:r>
        <w:rPr>
          <w:w w:val="95"/>
          <w:sz w:val="32"/>
        </w:rPr>
        <w:t>.经办部门：</w:t>
      </w:r>
      <w:r>
        <w:rPr>
          <w:rFonts w:hint="eastAsia"/>
          <w:w w:val="95"/>
          <w:sz w:val="32"/>
          <w:lang w:val="en-US" w:eastAsia="zh-CN"/>
        </w:rPr>
        <w:t>教务处</w:t>
      </w:r>
    </w:p>
    <w:p w14:paraId="1EB317BA">
      <w:pPr>
        <w:tabs>
          <w:tab w:val="left" w:pos="1603"/>
          <w:tab w:val="left" w:pos="3505"/>
          <w:tab w:val="left" w:pos="6860"/>
        </w:tabs>
        <w:spacing w:line="560" w:lineRule="exact"/>
        <w:ind w:firstLine="640" w:firstLineChars="200"/>
        <w:jc w:val="both"/>
        <w:rPr>
          <w:rFonts w:hint="eastAsia"/>
          <w:sz w:val="32"/>
        </w:rPr>
      </w:pPr>
      <w:r>
        <w:rPr>
          <w:rFonts w:hint="eastAsia"/>
          <w:sz w:val="32"/>
        </w:rPr>
        <w:t>3</w:t>
      </w:r>
      <w:r>
        <w:rPr>
          <w:sz w:val="32"/>
        </w:rPr>
        <w:t>.最高限价</w:t>
      </w:r>
      <w:r>
        <w:rPr>
          <w:rFonts w:hint="eastAsia"/>
          <w:sz w:val="32"/>
        </w:rPr>
        <w:t>：</w:t>
      </w:r>
      <w:r>
        <w:rPr>
          <w:rFonts w:hint="eastAsia"/>
          <w:sz w:val="32"/>
          <w:lang w:val="en-US" w:eastAsia="zh-CN"/>
        </w:rPr>
        <w:t>73000</w:t>
      </w:r>
      <w:r>
        <w:rPr>
          <w:sz w:val="32"/>
        </w:rPr>
        <w:t>元（大写：人民币</w:t>
      </w:r>
      <w:r>
        <w:rPr>
          <w:rFonts w:hint="eastAsia"/>
          <w:sz w:val="32"/>
          <w:lang w:val="en-US" w:eastAsia="zh-CN"/>
        </w:rPr>
        <w:t>七万三千元整</w:t>
      </w:r>
      <w:r>
        <w:rPr>
          <w:spacing w:val="-159"/>
          <w:sz w:val="32"/>
        </w:rPr>
        <w:t>）</w:t>
      </w:r>
      <w:r>
        <w:rPr>
          <w:sz w:val="32"/>
        </w:rPr>
        <w:t>。</w:t>
      </w:r>
    </w:p>
    <w:p w14:paraId="1AAEC704">
      <w:pPr>
        <w:pStyle w:val="2"/>
        <w:spacing w:line="560" w:lineRule="exact"/>
        <w:ind w:firstLine="636" w:firstLineChars="200"/>
        <w:rPr>
          <w:rFonts w:hint="eastAsia" w:ascii="黑体" w:eastAsia="黑体"/>
          <w:spacing w:val="-1"/>
        </w:rPr>
      </w:pPr>
      <w:bookmarkStart w:id="2" w:name="二、相关说明"/>
      <w:bookmarkEnd w:id="2"/>
      <w:r>
        <w:rPr>
          <w:rFonts w:hint="eastAsia" w:ascii="黑体" w:eastAsia="黑体"/>
          <w:spacing w:val="-1"/>
        </w:rPr>
        <w:t>二、相关说明</w:t>
      </w:r>
    </w:p>
    <w:p w14:paraId="21FD17DB">
      <w:pPr>
        <w:pStyle w:val="2"/>
        <w:spacing w:line="560" w:lineRule="exact"/>
        <w:ind w:firstLine="608" w:firstLineChars="200"/>
        <w:jc w:val="both"/>
        <w:rPr>
          <w:rFonts w:hint="eastAsia"/>
        </w:rPr>
      </w:pPr>
      <w:r>
        <w:rPr>
          <w:w w:val="95"/>
        </w:rPr>
        <w:t>（一）本采购文件仅适用于</w:t>
      </w:r>
      <w:r>
        <w:rPr>
          <w:rFonts w:hint="eastAsia"/>
          <w:w w:val="95"/>
        </w:rPr>
        <w:t>宁德职业技术学院</w:t>
      </w:r>
      <w:r>
        <w:rPr>
          <w:w w:val="95"/>
        </w:rPr>
        <w:t>采购职能部门</w:t>
      </w:r>
      <w:r>
        <w:t>组织的网上比选采购活动。</w:t>
      </w:r>
    </w:p>
    <w:p w14:paraId="69527828">
      <w:pPr>
        <w:pStyle w:val="2"/>
        <w:spacing w:line="560" w:lineRule="exact"/>
        <w:ind w:firstLine="640" w:firstLineChars="200"/>
        <w:jc w:val="both"/>
        <w:rPr>
          <w:rFonts w:hint="eastAsia"/>
        </w:rPr>
      </w:pPr>
      <w:r>
        <w:t>（二）凡符合资格要求的供应商均可参加。</w:t>
      </w:r>
    </w:p>
    <w:p w14:paraId="31DC02C7">
      <w:pPr>
        <w:pStyle w:val="2"/>
        <w:spacing w:line="560" w:lineRule="exact"/>
        <w:ind w:firstLine="608" w:firstLineChars="200"/>
        <w:jc w:val="both"/>
        <w:rPr>
          <w:rFonts w:hint="eastAsia"/>
        </w:rPr>
      </w:pPr>
      <w:r>
        <w:rPr>
          <w:w w:val="95"/>
        </w:rPr>
        <w:t>（三）无论结果如何，参加的供应商自行承担因此所产</w:t>
      </w:r>
      <w:r>
        <w:t>生的全部费用。</w:t>
      </w:r>
    </w:p>
    <w:p w14:paraId="773CD1FA">
      <w:pPr>
        <w:pStyle w:val="2"/>
        <w:spacing w:line="560" w:lineRule="exact"/>
        <w:ind w:firstLine="636" w:firstLineChars="200"/>
        <w:rPr>
          <w:rFonts w:hint="eastAsia" w:ascii="黑体" w:eastAsia="黑体"/>
          <w:spacing w:val="-1"/>
        </w:rPr>
      </w:pPr>
      <w:bookmarkStart w:id="3" w:name="三、报价供应商资格"/>
      <w:bookmarkEnd w:id="3"/>
      <w:r>
        <w:rPr>
          <w:rFonts w:hint="eastAsia" w:ascii="黑体" w:eastAsia="黑体"/>
          <w:spacing w:val="-1"/>
        </w:rPr>
        <w:t>三、报价供应商资格</w:t>
      </w:r>
    </w:p>
    <w:p w14:paraId="53C58C5F">
      <w:pPr>
        <w:tabs>
          <w:tab w:val="left" w:pos="1603"/>
        </w:tabs>
        <w:spacing w:line="560" w:lineRule="exact"/>
        <w:ind w:firstLine="608" w:firstLineChars="200"/>
        <w:jc w:val="both"/>
        <w:rPr>
          <w:rFonts w:hint="eastAsia"/>
          <w:sz w:val="32"/>
        </w:rPr>
      </w:pPr>
      <w:bookmarkStart w:id="4" w:name="1.报价供应商须符合《中华人民共和国政府采购法》第二十二条规定条件且无行贿犯罪记"/>
      <w:bookmarkEnd w:id="4"/>
      <w:r>
        <w:rPr>
          <w:rFonts w:hint="eastAsia"/>
          <w:w w:val="95"/>
          <w:sz w:val="32"/>
        </w:rPr>
        <w:t>1</w:t>
      </w:r>
      <w:r>
        <w:rPr>
          <w:w w:val="95"/>
          <w:sz w:val="32"/>
        </w:rPr>
        <w:t>.报价供应商须符合《中华人民共和国政府采购法》第二十二条规定条件且无行贿犯罪记录（须提供相关证明文件</w:t>
      </w:r>
      <w:r>
        <w:rPr>
          <w:sz w:val="32"/>
        </w:rPr>
        <w:t>或书面声明）；</w:t>
      </w:r>
    </w:p>
    <w:p w14:paraId="1BA27696">
      <w:pPr>
        <w:tabs>
          <w:tab w:val="left" w:pos="1603"/>
        </w:tabs>
        <w:spacing w:line="560" w:lineRule="exact"/>
        <w:ind w:firstLine="608" w:firstLineChars="200"/>
        <w:jc w:val="both"/>
        <w:rPr>
          <w:rFonts w:hint="eastAsia"/>
          <w:sz w:val="32"/>
        </w:rPr>
      </w:pPr>
      <w:r>
        <w:rPr>
          <w:rFonts w:hint="eastAsia"/>
          <w:w w:val="95"/>
          <w:sz w:val="32"/>
        </w:rPr>
        <w:t>2</w:t>
      </w:r>
      <w:r>
        <w:rPr>
          <w:w w:val="95"/>
          <w:sz w:val="32"/>
        </w:rPr>
        <w:t>.本项目不接受联合体报价和自然人报价，不得分包、</w:t>
      </w:r>
      <w:r>
        <w:rPr>
          <w:sz w:val="32"/>
        </w:rPr>
        <w:t>转包。</w:t>
      </w:r>
    </w:p>
    <w:p w14:paraId="770887FC">
      <w:pPr>
        <w:pStyle w:val="2"/>
        <w:spacing w:line="560" w:lineRule="exact"/>
        <w:ind w:firstLine="636" w:firstLineChars="200"/>
        <w:rPr>
          <w:rFonts w:hint="eastAsia" w:ascii="黑体" w:eastAsia="黑体"/>
          <w:spacing w:val="-1"/>
        </w:rPr>
      </w:pPr>
      <w:bookmarkStart w:id="5" w:name="四、报价要求"/>
      <w:bookmarkEnd w:id="5"/>
      <w:r>
        <w:rPr>
          <w:rFonts w:hint="eastAsia" w:ascii="黑体" w:eastAsia="黑体"/>
          <w:spacing w:val="-1"/>
        </w:rPr>
        <w:t>四、报价要求</w:t>
      </w:r>
    </w:p>
    <w:p w14:paraId="5E26FC2B">
      <w:pPr>
        <w:pStyle w:val="2"/>
        <w:spacing w:line="560" w:lineRule="exact"/>
        <w:ind w:firstLine="608" w:firstLineChars="200"/>
        <w:jc w:val="both"/>
        <w:rPr>
          <w:rFonts w:hint="eastAsia"/>
          <w:w w:val="95"/>
        </w:rPr>
      </w:pPr>
      <w:r>
        <w:rPr>
          <w:w w:val="95"/>
          <w:szCs w:val="22"/>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w:t>
      </w:r>
      <w:r>
        <w:rPr>
          <w:w w:val="95"/>
        </w:rPr>
        <w:t>全部货物、服务的相应价格及相关税费、运输到指定地点的装运费用、安装调试、系统集成、培训、售后服务等其他有关的所有费用，包括但不限于人工、材料、机械、管理、维护、保险、利润、税金、政策性文件规定及合同包含的所有风险、责任等各项应有费用。经评审确认的报价除非因特殊原因并经双方协商同意，报价人不得再要求追加任何费用。</w:t>
      </w:r>
    </w:p>
    <w:p w14:paraId="6C39A1FB">
      <w:pPr>
        <w:pStyle w:val="2"/>
        <w:spacing w:line="560" w:lineRule="exact"/>
        <w:ind w:firstLine="608" w:firstLineChars="200"/>
        <w:jc w:val="both"/>
        <w:rPr>
          <w:rFonts w:hint="eastAsia"/>
          <w:w w:val="95"/>
        </w:rPr>
      </w:pPr>
      <w:r>
        <w:rPr>
          <w:w w:val="95"/>
        </w:rPr>
        <w:t>提醒：报价为采购清单总价。报价文件中只能提供唯一明确报价。</w:t>
      </w:r>
    </w:p>
    <w:p w14:paraId="20827C12">
      <w:pPr>
        <w:pStyle w:val="2"/>
        <w:spacing w:line="560" w:lineRule="exact"/>
        <w:ind w:firstLine="636" w:firstLineChars="200"/>
        <w:rPr>
          <w:rFonts w:hint="eastAsia" w:ascii="黑体" w:eastAsia="黑体"/>
          <w:spacing w:val="-1"/>
        </w:rPr>
      </w:pPr>
      <w:bookmarkStart w:id="6" w:name="五、报价文件要求"/>
      <w:bookmarkEnd w:id="6"/>
      <w:r>
        <w:rPr>
          <w:rFonts w:hint="eastAsia" w:ascii="黑体" w:eastAsia="黑体"/>
          <w:spacing w:val="-1"/>
        </w:rPr>
        <w:t>五、报价文件要求</w:t>
      </w:r>
    </w:p>
    <w:p w14:paraId="66482C88">
      <w:pPr>
        <w:spacing w:line="560" w:lineRule="exact"/>
        <w:ind w:firstLine="640" w:firstLineChars="200"/>
        <w:jc w:val="both"/>
        <w:rPr>
          <w:rFonts w:hint="eastAsia"/>
          <w:sz w:val="32"/>
        </w:rPr>
      </w:pPr>
      <w:r>
        <w:rPr>
          <w:sz w:val="32"/>
        </w:rPr>
        <w:t>报价人应按照下列内容及顺序编写、装订报价文件。</w:t>
      </w:r>
      <w:r>
        <w:rPr>
          <w:b/>
          <w:sz w:val="32"/>
        </w:rPr>
        <w:t>报价文件中所有资格性、符合性证明材料均应当按照要求提供</w:t>
      </w:r>
      <w:r>
        <w:rPr>
          <w:b/>
          <w:w w:val="95"/>
          <w:sz w:val="32"/>
        </w:rPr>
        <w:t>完整、全面、清晰可辨的证明材料，如为“复印件、扫描件、</w:t>
      </w:r>
      <w:r>
        <w:rPr>
          <w:b/>
          <w:sz w:val="32"/>
        </w:rPr>
        <w:t>网页打印件”均应当加盖供应商单位公章方为有效</w:t>
      </w:r>
      <w:r>
        <w:rPr>
          <w:sz w:val="32"/>
        </w:rPr>
        <w:t>。</w:t>
      </w:r>
    </w:p>
    <w:p w14:paraId="2963C4D5">
      <w:pPr>
        <w:pStyle w:val="2"/>
        <w:spacing w:line="560" w:lineRule="exact"/>
        <w:ind w:firstLine="608" w:firstLineChars="200"/>
        <w:jc w:val="both"/>
        <w:rPr>
          <w:rFonts w:hint="eastAsia"/>
          <w:w w:val="95"/>
          <w:szCs w:val="22"/>
        </w:rPr>
      </w:pPr>
      <w:r>
        <w:rPr>
          <w:rFonts w:hint="eastAsia"/>
          <w:w w:val="95"/>
          <w:szCs w:val="22"/>
        </w:rPr>
        <w:t>（一）报价文件的构成、顺序及要求</w:t>
      </w:r>
    </w:p>
    <w:p w14:paraId="2A9699FD">
      <w:pPr>
        <w:tabs>
          <w:tab w:val="left" w:pos="1603"/>
        </w:tabs>
        <w:spacing w:line="560" w:lineRule="exact"/>
        <w:ind w:firstLine="608" w:firstLineChars="200"/>
        <w:jc w:val="both"/>
        <w:rPr>
          <w:rFonts w:hint="eastAsia"/>
          <w:w w:val="95"/>
          <w:sz w:val="32"/>
        </w:rPr>
      </w:pPr>
      <w:r>
        <w:rPr>
          <w:rFonts w:hint="eastAsia"/>
          <w:w w:val="95"/>
          <w:sz w:val="32"/>
        </w:rPr>
        <w:t>1</w:t>
      </w:r>
      <w:r>
        <w:rPr>
          <w:w w:val="95"/>
          <w:sz w:val="32"/>
        </w:rPr>
        <w:t>.文件封面；</w:t>
      </w:r>
    </w:p>
    <w:p w14:paraId="5625E355">
      <w:pPr>
        <w:tabs>
          <w:tab w:val="left" w:pos="1603"/>
        </w:tabs>
        <w:spacing w:line="560" w:lineRule="exact"/>
        <w:ind w:firstLine="608" w:firstLineChars="200"/>
        <w:jc w:val="both"/>
        <w:rPr>
          <w:rFonts w:hint="eastAsia"/>
          <w:w w:val="95"/>
          <w:sz w:val="32"/>
        </w:rPr>
      </w:pPr>
      <w:r>
        <w:rPr>
          <w:rFonts w:hint="eastAsia"/>
          <w:w w:val="95"/>
          <w:sz w:val="32"/>
        </w:rPr>
        <w:t>2</w:t>
      </w:r>
      <w:r>
        <w:rPr>
          <w:w w:val="95"/>
          <w:sz w:val="32"/>
        </w:rPr>
        <w:t>.目录；</w:t>
      </w:r>
    </w:p>
    <w:p w14:paraId="4D7B5DDB">
      <w:pPr>
        <w:tabs>
          <w:tab w:val="left" w:pos="1603"/>
        </w:tabs>
        <w:spacing w:line="560" w:lineRule="exact"/>
        <w:ind w:firstLine="643" w:firstLineChars="200"/>
        <w:jc w:val="both"/>
        <w:rPr>
          <w:rFonts w:hint="eastAsia"/>
          <w:w w:val="95"/>
          <w:sz w:val="32"/>
        </w:rPr>
      </w:pPr>
      <w:r>
        <w:rPr>
          <w:rFonts w:hint="eastAsia"/>
          <w:b/>
          <w:sz w:val="32"/>
        </w:rPr>
        <w:t>3</w:t>
      </w:r>
      <w:r>
        <w:rPr>
          <w:b/>
          <w:sz w:val="32"/>
        </w:rPr>
        <w:t>.资格性审查材料，包括但不限于：</w:t>
      </w:r>
    </w:p>
    <w:p w14:paraId="106E74CA">
      <w:pPr>
        <w:tabs>
          <w:tab w:val="left" w:pos="2100"/>
        </w:tabs>
        <w:spacing w:line="560" w:lineRule="exact"/>
        <w:ind w:firstLine="608" w:firstLineChars="200"/>
        <w:jc w:val="both"/>
        <w:rPr>
          <w:rFonts w:hint="eastAsia"/>
          <w:sz w:val="32"/>
        </w:rPr>
      </w:pPr>
      <w:r>
        <w:rPr>
          <w:rFonts w:hint="eastAsia"/>
          <w:w w:val="95"/>
          <w:sz w:val="32"/>
        </w:rPr>
        <w:t>（1）</w:t>
      </w:r>
      <w:r>
        <w:rPr>
          <w:w w:val="95"/>
          <w:sz w:val="32"/>
        </w:rPr>
        <w:t>营业执照（或事业法人登记证等相关证明）副本</w:t>
      </w:r>
      <w:r>
        <w:rPr>
          <w:spacing w:val="1"/>
          <w:w w:val="95"/>
          <w:sz w:val="32"/>
        </w:rPr>
        <w:t xml:space="preserve"> </w:t>
      </w:r>
      <w:r>
        <w:rPr>
          <w:sz w:val="32"/>
        </w:rPr>
        <w:t>复印件；</w:t>
      </w:r>
    </w:p>
    <w:p w14:paraId="4298FDB7">
      <w:pPr>
        <w:tabs>
          <w:tab w:val="left" w:pos="2081"/>
        </w:tabs>
        <w:spacing w:line="560" w:lineRule="exact"/>
        <w:ind w:firstLine="608" w:firstLineChars="200"/>
        <w:jc w:val="both"/>
        <w:rPr>
          <w:rFonts w:hint="eastAsia"/>
          <w:spacing w:val="1"/>
          <w:w w:val="95"/>
          <w:sz w:val="32"/>
        </w:rPr>
      </w:pPr>
      <w:r>
        <w:rPr>
          <w:rFonts w:hint="eastAsia"/>
          <w:w w:val="95"/>
          <w:sz w:val="32"/>
        </w:rPr>
        <w:t>（2）</w:t>
      </w:r>
      <w:r>
        <w:rPr>
          <w:w w:val="95"/>
          <w:sz w:val="32"/>
        </w:rPr>
        <w:t>相关资质证书或许可证书等复印件；</w:t>
      </w:r>
    </w:p>
    <w:p w14:paraId="1E6366C0">
      <w:pPr>
        <w:tabs>
          <w:tab w:val="left" w:pos="2081"/>
        </w:tabs>
        <w:spacing w:line="560" w:lineRule="exact"/>
        <w:ind w:firstLine="643" w:firstLineChars="200"/>
        <w:jc w:val="both"/>
        <w:rPr>
          <w:rFonts w:hint="eastAsia"/>
          <w:b/>
          <w:sz w:val="32"/>
        </w:rPr>
      </w:pPr>
      <w:r>
        <w:rPr>
          <w:b/>
          <w:sz w:val="32"/>
        </w:rPr>
        <w:t>4.符合性审查材料，包括但不限于：</w:t>
      </w:r>
    </w:p>
    <w:p w14:paraId="41AB9C26">
      <w:pPr>
        <w:tabs>
          <w:tab w:val="left" w:pos="2081"/>
        </w:tabs>
        <w:spacing w:line="560" w:lineRule="exact"/>
        <w:ind w:firstLine="640" w:firstLineChars="200"/>
        <w:jc w:val="both"/>
        <w:rPr>
          <w:rFonts w:hint="eastAsia"/>
          <w:sz w:val="32"/>
        </w:rPr>
      </w:pPr>
      <w:r>
        <w:rPr>
          <w:rFonts w:hint="eastAsia"/>
          <w:sz w:val="32"/>
        </w:rPr>
        <w:t>（1）</w:t>
      </w:r>
      <w:r>
        <w:rPr>
          <w:sz w:val="32"/>
        </w:rPr>
        <w:t>提供法人或负责人资格证明、授权委托书；</w:t>
      </w:r>
    </w:p>
    <w:p w14:paraId="3BFD5993">
      <w:pPr>
        <w:tabs>
          <w:tab w:val="left" w:pos="2081"/>
        </w:tabs>
        <w:spacing w:line="560" w:lineRule="exact"/>
        <w:ind w:firstLine="608" w:firstLineChars="200"/>
        <w:jc w:val="both"/>
        <w:rPr>
          <w:rFonts w:hint="eastAsia"/>
          <w:sz w:val="32"/>
        </w:rPr>
      </w:pPr>
      <w:r>
        <w:rPr>
          <w:rFonts w:hint="eastAsia"/>
          <w:w w:val="95"/>
          <w:sz w:val="32"/>
        </w:rPr>
        <w:t>（2）</w:t>
      </w:r>
      <w:r>
        <w:rPr>
          <w:w w:val="95"/>
          <w:sz w:val="32"/>
        </w:rPr>
        <w:t>报价明细表；</w:t>
      </w:r>
    </w:p>
    <w:p w14:paraId="64D3CB1C">
      <w:pPr>
        <w:pStyle w:val="2"/>
        <w:spacing w:line="560" w:lineRule="exact"/>
        <w:ind w:firstLine="608" w:firstLineChars="200"/>
        <w:jc w:val="both"/>
        <w:rPr>
          <w:rFonts w:hint="eastAsia"/>
          <w:w w:val="95"/>
          <w:szCs w:val="22"/>
        </w:rPr>
      </w:pPr>
      <w:r>
        <w:rPr>
          <w:rFonts w:hint="eastAsia"/>
          <w:w w:val="95"/>
          <w:szCs w:val="22"/>
        </w:rPr>
        <w:t>（二）报价文件的份数、签署和封装</w:t>
      </w:r>
    </w:p>
    <w:p w14:paraId="119142B3">
      <w:pPr>
        <w:pStyle w:val="15"/>
        <w:tabs>
          <w:tab w:val="left" w:pos="1603"/>
        </w:tabs>
        <w:spacing w:before="0" w:line="560" w:lineRule="exact"/>
        <w:ind w:left="0" w:firstLine="576" w:firstLineChars="200"/>
        <w:jc w:val="both"/>
        <w:rPr>
          <w:rFonts w:hint="eastAsia"/>
          <w:spacing w:val="-8"/>
          <w:w w:val="95"/>
          <w:sz w:val="32"/>
        </w:rPr>
      </w:pPr>
      <w:r>
        <w:rPr>
          <w:rFonts w:hint="eastAsia"/>
          <w:spacing w:val="-8"/>
          <w:w w:val="95"/>
          <w:sz w:val="32"/>
        </w:rPr>
        <w:t>1</w:t>
      </w:r>
      <w:r>
        <w:rPr>
          <w:spacing w:val="-8"/>
          <w:w w:val="95"/>
          <w:sz w:val="32"/>
        </w:rPr>
        <w:t>.报价人必须制作报价文件。报价文件份数为正本 1 份。将密封袋密封后加盖与报价人单位一致的有效印章。报价文件应规定时间内由评审小组现场拆封。</w:t>
      </w:r>
    </w:p>
    <w:p w14:paraId="5188F2C5">
      <w:pPr>
        <w:tabs>
          <w:tab w:val="left" w:pos="1603"/>
        </w:tabs>
        <w:spacing w:line="560" w:lineRule="exact"/>
        <w:ind w:firstLine="608" w:firstLineChars="200"/>
        <w:jc w:val="both"/>
        <w:rPr>
          <w:rFonts w:hint="eastAsia"/>
          <w:sz w:val="32"/>
        </w:rPr>
      </w:pPr>
      <w:r>
        <w:rPr>
          <w:rFonts w:hint="eastAsia"/>
          <w:w w:val="95"/>
          <w:sz w:val="32"/>
        </w:rPr>
        <w:t>2</w:t>
      </w:r>
      <w:r>
        <w:rPr>
          <w:w w:val="95"/>
          <w:sz w:val="32"/>
        </w:rPr>
        <w:t>.报价文件一经送达，无论报价人是否推荐成交，其报</w:t>
      </w:r>
      <w:r>
        <w:rPr>
          <w:sz w:val="32"/>
        </w:rPr>
        <w:t>价文件不予退还。</w:t>
      </w:r>
    </w:p>
    <w:p w14:paraId="0F4D7DDC">
      <w:pPr>
        <w:pStyle w:val="2"/>
        <w:spacing w:line="560" w:lineRule="exact"/>
        <w:ind w:firstLine="608" w:firstLineChars="200"/>
        <w:jc w:val="both"/>
        <w:rPr>
          <w:rFonts w:hint="eastAsia"/>
          <w:w w:val="95"/>
          <w:szCs w:val="22"/>
        </w:rPr>
      </w:pPr>
      <w:r>
        <w:rPr>
          <w:rFonts w:hint="eastAsia"/>
          <w:w w:val="95"/>
          <w:szCs w:val="22"/>
        </w:rPr>
        <w:t>（三）终止比选的情形</w:t>
      </w:r>
    </w:p>
    <w:p w14:paraId="3D1D4497">
      <w:pPr>
        <w:tabs>
          <w:tab w:val="left" w:pos="1612"/>
        </w:tabs>
        <w:spacing w:line="560" w:lineRule="exact"/>
        <w:ind w:firstLine="660" w:firstLineChars="200"/>
        <w:jc w:val="both"/>
        <w:rPr>
          <w:rFonts w:hint="eastAsia"/>
          <w:sz w:val="32"/>
        </w:rPr>
      </w:pPr>
      <w:r>
        <w:rPr>
          <w:rFonts w:hint="eastAsia"/>
          <w:spacing w:val="13"/>
          <w:w w:val="95"/>
          <w:sz w:val="32"/>
        </w:rPr>
        <w:t>1</w:t>
      </w:r>
      <w:r>
        <w:rPr>
          <w:spacing w:val="13"/>
          <w:w w:val="95"/>
          <w:sz w:val="32"/>
        </w:rPr>
        <w:t>.符合专业条件的供应商或者对询价文件作实质性响</w:t>
      </w:r>
      <w:r>
        <w:rPr>
          <w:spacing w:val="1"/>
          <w:w w:val="95"/>
          <w:sz w:val="32"/>
        </w:rPr>
        <w:t xml:space="preserve"> </w:t>
      </w:r>
      <w:r>
        <w:rPr>
          <w:sz w:val="32"/>
        </w:rPr>
        <w:t>应的供应商不足三家的；</w:t>
      </w:r>
    </w:p>
    <w:p w14:paraId="0A54CE57">
      <w:pPr>
        <w:tabs>
          <w:tab w:val="left" w:pos="1603"/>
        </w:tabs>
        <w:spacing w:line="560" w:lineRule="exact"/>
        <w:ind w:firstLine="640" w:firstLineChars="200"/>
        <w:jc w:val="both"/>
        <w:rPr>
          <w:rFonts w:hint="eastAsia"/>
          <w:sz w:val="32"/>
        </w:rPr>
      </w:pPr>
      <w:r>
        <w:rPr>
          <w:rFonts w:hint="eastAsia"/>
          <w:sz w:val="32"/>
        </w:rPr>
        <w:t>2</w:t>
      </w:r>
      <w:r>
        <w:rPr>
          <w:sz w:val="32"/>
        </w:rPr>
        <w:t>.出现影响采购公正的违法、违规行为的；</w:t>
      </w:r>
    </w:p>
    <w:p w14:paraId="3D3E7E36">
      <w:pPr>
        <w:tabs>
          <w:tab w:val="left" w:pos="1603"/>
        </w:tabs>
        <w:spacing w:line="560" w:lineRule="exact"/>
        <w:ind w:firstLine="640" w:firstLineChars="200"/>
        <w:jc w:val="both"/>
        <w:rPr>
          <w:rFonts w:hint="eastAsia"/>
          <w:sz w:val="32"/>
        </w:rPr>
      </w:pPr>
      <w:r>
        <w:rPr>
          <w:rFonts w:hint="eastAsia"/>
          <w:sz w:val="32"/>
        </w:rPr>
        <w:t>3</w:t>
      </w:r>
      <w:r>
        <w:rPr>
          <w:sz w:val="32"/>
        </w:rPr>
        <w:t>.报价供应商的报价均超过了采购预算；</w:t>
      </w:r>
    </w:p>
    <w:p w14:paraId="4FDDFB8E">
      <w:pPr>
        <w:tabs>
          <w:tab w:val="left" w:pos="1603"/>
        </w:tabs>
        <w:spacing w:line="560" w:lineRule="exact"/>
        <w:ind w:firstLine="640" w:firstLineChars="200"/>
        <w:jc w:val="both"/>
        <w:rPr>
          <w:rFonts w:hint="eastAsia"/>
          <w:sz w:val="32"/>
        </w:rPr>
      </w:pPr>
      <w:r>
        <w:rPr>
          <w:rFonts w:hint="eastAsia"/>
          <w:sz w:val="32"/>
        </w:rPr>
        <w:t>4</w:t>
      </w:r>
      <w:r>
        <w:rPr>
          <w:sz w:val="32"/>
        </w:rPr>
        <w:t>.因重大变故，采购任务取消的。</w:t>
      </w:r>
    </w:p>
    <w:p w14:paraId="000E5808">
      <w:pPr>
        <w:pStyle w:val="2"/>
        <w:spacing w:line="560" w:lineRule="exact"/>
        <w:ind w:firstLine="608" w:firstLineChars="200"/>
        <w:jc w:val="both"/>
        <w:rPr>
          <w:rFonts w:hint="eastAsia"/>
          <w:w w:val="95"/>
          <w:szCs w:val="22"/>
        </w:rPr>
      </w:pPr>
      <w:r>
        <w:rPr>
          <w:rFonts w:hint="eastAsia"/>
          <w:w w:val="95"/>
          <w:szCs w:val="22"/>
        </w:rPr>
        <w:t>（四）报价无效情况</w:t>
      </w:r>
    </w:p>
    <w:p w14:paraId="2DEC5339">
      <w:pPr>
        <w:tabs>
          <w:tab w:val="left" w:pos="1603"/>
        </w:tabs>
        <w:spacing w:line="560" w:lineRule="exact"/>
        <w:ind w:firstLine="608" w:firstLineChars="200"/>
        <w:rPr>
          <w:rFonts w:hint="eastAsia"/>
          <w:sz w:val="32"/>
        </w:rPr>
      </w:pPr>
      <w:r>
        <w:rPr>
          <w:rFonts w:hint="eastAsia"/>
          <w:w w:val="95"/>
          <w:sz w:val="32"/>
        </w:rPr>
        <w:t>1</w:t>
      </w:r>
      <w:r>
        <w:rPr>
          <w:w w:val="95"/>
          <w:sz w:val="32"/>
        </w:rPr>
        <w:t>.未按照询价文件规定要求装订、密封、签字、加盖报</w:t>
      </w:r>
      <w:r>
        <w:rPr>
          <w:spacing w:val="1"/>
          <w:w w:val="95"/>
          <w:sz w:val="32"/>
        </w:rPr>
        <w:t xml:space="preserve"> </w:t>
      </w:r>
      <w:r>
        <w:rPr>
          <w:sz w:val="32"/>
        </w:rPr>
        <w:t>价供应商公章的；</w:t>
      </w:r>
    </w:p>
    <w:p w14:paraId="31A431CE">
      <w:pPr>
        <w:tabs>
          <w:tab w:val="left" w:pos="1612"/>
        </w:tabs>
        <w:spacing w:line="560" w:lineRule="exact"/>
        <w:ind w:firstLine="660" w:firstLineChars="200"/>
        <w:rPr>
          <w:rFonts w:hint="eastAsia"/>
          <w:sz w:val="32"/>
        </w:rPr>
      </w:pPr>
      <w:r>
        <w:rPr>
          <w:rFonts w:hint="eastAsia"/>
          <w:spacing w:val="13"/>
          <w:w w:val="95"/>
          <w:sz w:val="32"/>
        </w:rPr>
        <w:t>2</w:t>
      </w:r>
      <w:r>
        <w:rPr>
          <w:spacing w:val="13"/>
          <w:w w:val="95"/>
          <w:sz w:val="32"/>
        </w:rPr>
        <w:t>.不具备询价文件中规定资格要求或提供资格证明文</w:t>
      </w:r>
      <w:r>
        <w:rPr>
          <w:spacing w:val="1"/>
          <w:w w:val="95"/>
          <w:sz w:val="32"/>
        </w:rPr>
        <w:t xml:space="preserve"> </w:t>
      </w:r>
      <w:r>
        <w:rPr>
          <w:sz w:val="32"/>
        </w:rPr>
        <w:t>件不全的；</w:t>
      </w:r>
    </w:p>
    <w:p w14:paraId="6D151D95">
      <w:pPr>
        <w:tabs>
          <w:tab w:val="left" w:pos="1603"/>
        </w:tabs>
        <w:spacing w:line="560" w:lineRule="exact"/>
        <w:ind w:firstLine="640" w:firstLineChars="200"/>
        <w:rPr>
          <w:rFonts w:hint="eastAsia"/>
          <w:sz w:val="32"/>
        </w:rPr>
      </w:pPr>
      <w:r>
        <w:rPr>
          <w:rFonts w:hint="eastAsia"/>
          <w:sz w:val="32"/>
        </w:rPr>
        <w:t>3</w:t>
      </w:r>
      <w:r>
        <w:rPr>
          <w:sz w:val="32"/>
        </w:rPr>
        <w:t>.报价超过最高限价的；</w:t>
      </w:r>
    </w:p>
    <w:p w14:paraId="31C8DA84">
      <w:pPr>
        <w:tabs>
          <w:tab w:val="left" w:pos="1603"/>
        </w:tabs>
        <w:spacing w:line="560" w:lineRule="exact"/>
        <w:ind w:firstLine="640" w:firstLineChars="200"/>
        <w:rPr>
          <w:rFonts w:hint="eastAsia"/>
          <w:sz w:val="32"/>
        </w:rPr>
      </w:pPr>
      <w:r>
        <w:rPr>
          <w:rFonts w:hint="eastAsia"/>
          <w:sz w:val="32"/>
        </w:rPr>
        <w:t>4</w:t>
      </w:r>
      <w:r>
        <w:rPr>
          <w:sz w:val="32"/>
        </w:rPr>
        <w:t>.提交的是可选择性报价的；</w:t>
      </w:r>
    </w:p>
    <w:p w14:paraId="499C5663">
      <w:pPr>
        <w:tabs>
          <w:tab w:val="left" w:pos="1603"/>
        </w:tabs>
        <w:spacing w:line="560" w:lineRule="exact"/>
        <w:ind w:firstLine="640" w:firstLineChars="200"/>
        <w:rPr>
          <w:rFonts w:hint="eastAsia"/>
          <w:sz w:val="32"/>
        </w:rPr>
      </w:pPr>
      <w:r>
        <w:rPr>
          <w:rFonts w:hint="eastAsia"/>
          <w:sz w:val="32"/>
        </w:rPr>
        <w:t>5</w:t>
      </w:r>
      <w:r>
        <w:rPr>
          <w:sz w:val="32"/>
        </w:rPr>
        <w:t>.报价内容与询价内容及技术要求有不满足的；</w:t>
      </w:r>
    </w:p>
    <w:p w14:paraId="217CD9FE">
      <w:pPr>
        <w:tabs>
          <w:tab w:val="left" w:pos="1603"/>
        </w:tabs>
        <w:spacing w:line="560" w:lineRule="exact"/>
        <w:ind w:firstLine="640" w:firstLineChars="200"/>
        <w:rPr>
          <w:rFonts w:hint="eastAsia"/>
          <w:sz w:val="32"/>
        </w:rPr>
      </w:pPr>
      <w:r>
        <w:rPr>
          <w:rFonts w:hint="eastAsia"/>
          <w:sz w:val="32"/>
        </w:rPr>
        <w:t>6</w:t>
      </w:r>
      <w:r>
        <w:rPr>
          <w:sz w:val="32"/>
        </w:rPr>
        <w:t>.报价有严重缺漏项目的；</w:t>
      </w:r>
    </w:p>
    <w:p w14:paraId="1864398C">
      <w:pPr>
        <w:tabs>
          <w:tab w:val="left" w:pos="1603"/>
        </w:tabs>
        <w:spacing w:line="560" w:lineRule="exact"/>
        <w:ind w:firstLine="608" w:firstLineChars="200"/>
        <w:rPr>
          <w:rFonts w:hint="eastAsia"/>
          <w:sz w:val="32"/>
        </w:rPr>
      </w:pPr>
      <w:r>
        <w:rPr>
          <w:rFonts w:hint="eastAsia"/>
          <w:w w:val="95"/>
          <w:sz w:val="32"/>
        </w:rPr>
        <w:t>7</w:t>
      </w:r>
      <w:r>
        <w:rPr>
          <w:w w:val="95"/>
          <w:sz w:val="32"/>
        </w:rPr>
        <w:t>.不符合法律、法规和询价文件中规定的其他实质性要</w:t>
      </w:r>
      <w:r>
        <w:rPr>
          <w:spacing w:val="1"/>
          <w:w w:val="95"/>
          <w:sz w:val="32"/>
        </w:rPr>
        <w:t xml:space="preserve"> </w:t>
      </w:r>
      <w:r>
        <w:rPr>
          <w:sz w:val="32"/>
        </w:rPr>
        <w:t>求的；</w:t>
      </w:r>
    </w:p>
    <w:p w14:paraId="7A580FA5">
      <w:pPr>
        <w:tabs>
          <w:tab w:val="left" w:pos="1603"/>
        </w:tabs>
        <w:spacing w:line="560" w:lineRule="exact"/>
        <w:ind w:firstLine="640" w:firstLineChars="200"/>
        <w:rPr>
          <w:rFonts w:hint="eastAsia"/>
          <w:sz w:val="32"/>
        </w:rPr>
      </w:pPr>
      <w:r>
        <w:rPr>
          <w:rFonts w:hint="eastAsia"/>
          <w:sz w:val="32"/>
        </w:rPr>
        <w:t>8</w:t>
      </w:r>
      <w:r>
        <w:rPr>
          <w:sz w:val="32"/>
        </w:rPr>
        <w:t>.出现影响采购公正的违法、违规行为的。</w:t>
      </w:r>
    </w:p>
    <w:p w14:paraId="3E3B0B71">
      <w:pPr>
        <w:pStyle w:val="2"/>
        <w:spacing w:line="560" w:lineRule="exact"/>
        <w:ind w:firstLine="636" w:firstLineChars="200"/>
        <w:rPr>
          <w:rFonts w:hint="eastAsia" w:ascii="黑体" w:eastAsia="黑体"/>
          <w:spacing w:val="-1"/>
        </w:rPr>
      </w:pPr>
      <w:r>
        <w:rPr>
          <w:rFonts w:hint="eastAsia" w:ascii="黑体" w:eastAsia="黑体"/>
          <w:spacing w:val="-1"/>
        </w:rPr>
        <w:t>六、评审办法</w:t>
      </w:r>
    </w:p>
    <w:p w14:paraId="1016D018">
      <w:pPr>
        <w:pStyle w:val="2"/>
        <w:tabs>
          <w:tab w:val="left" w:pos="5439"/>
        </w:tabs>
        <w:spacing w:line="560" w:lineRule="exact"/>
        <w:ind w:firstLine="640" w:firstLineChars="200"/>
        <w:rPr>
          <w:rFonts w:hint="eastAsia"/>
        </w:rPr>
      </w:pPr>
      <w:r>
        <w:t>本项目采用评审方法</w:t>
      </w:r>
      <w:r>
        <w:rPr>
          <w:rFonts w:hint="eastAsia"/>
          <w:lang w:val="en-US" w:eastAsia="zh-CN"/>
        </w:rPr>
        <w:t>为</w:t>
      </w:r>
      <w:r>
        <w:rPr>
          <w:rFonts w:hint="eastAsia"/>
          <w:u w:val="none"/>
          <w:lang w:eastAsia="zh-CN"/>
        </w:rPr>
        <w:t>最低评标价法</w:t>
      </w:r>
      <w:r>
        <w:rPr>
          <w:u w:val="none"/>
        </w:rPr>
        <w:t>。</w:t>
      </w:r>
    </w:p>
    <w:p w14:paraId="00A25E64">
      <w:pPr>
        <w:pStyle w:val="2"/>
        <w:spacing w:line="560" w:lineRule="exact"/>
        <w:ind w:firstLine="608" w:firstLineChars="200"/>
        <w:jc w:val="both"/>
        <w:rPr>
          <w:rFonts w:hint="eastAsia"/>
        </w:rPr>
      </w:pPr>
      <w:r>
        <w:rPr>
          <w:w w:val="95"/>
        </w:rPr>
        <w:t>最低评标价法。供应商响应文件满足本项目全部实质性要求且报价最低的供应商为成交候选人的比选方法。出现最</w:t>
      </w:r>
      <w:r>
        <w:t>低报价相同者则抽签决定成交人。</w:t>
      </w:r>
    </w:p>
    <w:p w14:paraId="1D0DE137">
      <w:pPr>
        <w:pStyle w:val="2"/>
        <w:spacing w:line="560" w:lineRule="exact"/>
        <w:ind w:firstLine="636" w:firstLineChars="200"/>
        <w:rPr>
          <w:rFonts w:hint="eastAsia" w:ascii="黑体" w:eastAsia="黑体"/>
          <w:spacing w:val="-1"/>
        </w:rPr>
      </w:pPr>
      <w:bookmarkStart w:id="7" w:name="七、成交供应商确定"/>
      <w:bookmarkEnd w:id="7"/>
      <w:r>
        <w:rPr>
          <w:rFonts w:hint="eastAsia" w:ascii="黑体" w:eastAsia="黑体"/>
          <w:spacing w:val="-1"/>
        </w:rPr>
        <w:t>七、成交供应商确定</w:t>
      </w:r>
    </w:p>
    <w:p w14:paraId="3F19A93A">
      <w:pPr>
        <w:pStyle w:val="2"/>
        <w:spacing w:line="560" w:lineRule="exact"/>
        <w:ind w:firstLine="608" w:firstLineChars="200"/>
        <w:jc w:val="both"/>
        <w:rPr>
          <w:rFonts w:hint="eastAsia"/>
        </w:rPr>
      </w:pPr>
      <w:r>
        <w:rPr>
          <w:w w:val="95"/>
        </w:rPr>
        <w:t>各单位应对评审小组推荐的成交供应商确认后，在发出</w:t>
      </w:r>
      <w:r>
        <w:rPr>
          <w:spacing w:val="2"/>
          <w:w w:val="95"/>
        </w:rPr>
        <w:t>比选结果公告后</w:t>
      </w:r>
      <w:r>
        <w:rPr>
          <w:w w:val="95"/>
        </w:rPr>
        <w:t>30日内与成交供应商签订采购合同。若成</w:t>
      </w:r>
      <w:r>
        <w:rPr>
          <w:spacing w:val="11"/>
          <w:w w:val="95"/>
        </w:rPr>
        <w:t>交供应商放弃成交资格或不按照学校采购制度的规定签订</w:t>
      </w:r>
      <w:r>
        <w:rPr>
          <w:w w:val="95"/>
        </w:rPr>
        <w:t>合同或被申购单位单方面解除合同的，申购单位有权依照排</w:t>
      </w:r>
      <w:r>
        <w:t>名先后顺序依次选择其他供应商作为成交供应商。</w:t>
      </w:r>
    </w:p>
    <w:p w14:paraId="6F757322">
      <w:pPr>
        <w:spacing w:line="560" w:lineRule="exact"/>
        <w:ind w:firstLine="440" w:firstLineChars="200"/>
        <w:jc w:val="both"/>
        <w:rPr>
          <w:rFonts w:hint="eastAsia"/>
        </w:rPr>
        <w:sectPr>
          <w:footerReference r:id="rId5" w:type="default"/>
          <w:footerReference r:id="rId6" w:type="even"/>
          <w:pgSz w:w="11910" w:h="16840"/>
          <w:pgMar w:top="1440" w:right="1800" w:bottom="1440" w:left="1800" w:header="0" w:footer="1146" w:gutter="0"/>
          <w:cols w:space="720" w:num="1"/>
          <w:docGrid w:linePitch="299" w:charSpace="0"/>
        </w:sectPr>
      </w:pPr>
    </w:p>
    <w:p w14:paraId="57F7823D">
      <w:pPr>
        <w:pStyle w:val="2"/>
        <w:spacing w:line="560" w:lineRule="exact"/>
        <w:jc w:val="center"/>
        <w:rPr>
          <w:rFonts w:hint="eastAsia" w:ascii="黑体" w:eastAsia="黑体"/>
          <w:spacing w:val="12"/>
        </w:rPr>
      </w:pPr>
      <w:bookmarkStart w:id="8" w:name="_bookmark1"/>
      <w:bookmarkEnd w:id="8"/>
      <w:r>
        <w:rPr>
          <w:rFonts w:hint="eastAsia" w:ascii="黑体" w:eastAsia="黑体"/>
          <w:spacing w:val="12"/>
        </w:rPr>
        <w:t>第二部分 采购需求书</w:t>
      </w:r>
    </w:p>
    <w:p w14:paraId="2D53AD34">
      <w:pPr>
        <w:pStyle w:val="2"/>
        <w:spacing w:line="560" w:lineRule="exact"/>
        <w:ind w:firstLine="636" w:firstLineChars="200"/>
        <w:rPr>
          <w:rFonts w:hint="eastAsia" w:ascii="黑体" w:eastAsia="黑体"/>
          <w:spacing w:val="-1"/>
        </w:rPr>
      </w:pPr>
      <w:r>
        <w:rPr>
          <w:rFonts w:hint="eastAsia" w:ascii="黑体" w:eastAsia="黑体"/>
          <w:spacing w:val="-1"/>
        </w:rPr>
        <w:t>一、项目概况</w:t>
      </w:r>
    </w:p>
    <w:p w14:paraId="7CFF13DC">
      <w:pPr>
        <w:tabs>
          <w:tab w:val="left" w:pos="7645"/>
        </w:tabs>
        <w:ind w:firstLine="608" w:firstLineChars="200"/>
        <w:jc w:val="left"/>
        <w:rPr>
          <w:rFonts w:hint="default" w:eastAsia="仿宋_GB2312"/>
          <w:b/>
          <w:sz w:val="36"/>
          <w:u w:val="single"/>
          <w:lang w:val="en-US" w:eastAsia="zh-CN"/>
        </w:rPr>
      </w:pPr>
      <w:r>
        <w:rPr>
          <w:rFonts w:hint="eastAsia"/>
          <w:w w:val="95"/>
          <w:sz w:val="32"/>
        </w:rPr>
        <w:t>1</w:t>
      </w:r>
      <w:r>
        <w:rPr>
          <w:w w:val="95"/>
          <w:sz w:val="32"/>
        </w:rPr>
        <w:t>.项目名称：</w:t>
      </w:r>
      <w:r>
        <w:rPr>
          <w:rFonts w:hint="eastAsia"/>
          <w:w w:val="95"/>
          <w:sz w:val="32"/>
        </w:rPr>
        <w:t>宁德职业技术学院教务综合管理平台（2026年）维保</w:t>
      </w:r>
    </w:p>
    <w:p w14:paraId="058B2C5E">
      <w:pPr>
        <w:tabs>
          <w:tab w:val="left" w:pos="1603"/>
        </w:tabs>
        <w:spacing w:line="560" w:lineRule="exact"/>
        <w:ind w:firstLine="608" w:firstLineChars="200"/>
        <w:jc w:val="both"/>
        <w:rPr>
          <w:rFonts w:hint="eastAsia" w:eastAsia="仿宋_GB2312"/>
          <w:sz w:val="32"/>
          <w:lang w:eastAsia="zh-CN"/>
        </w:rPr>
      </w:pPr>
      <w:r>
        <w:rPr>
          <w:rFonts w:hint="eastAsia"/>
          <w:w w:val="95"/>
          <w:sz w:val="32"/>
        </w:rPr>
        <w:t>2</w:t>
      </w:r>
      <w:r>
        <w:rPr>
          <w:w w:val="95"/>
          <w:sz w:val="32"/>
        </w:rPr>
        <w:t>.经办部门：</w:t>
      </w:r>
      <w:r>
        <w:rPr>
          <w:rFonts w:hint="eastAsia"/>
          <w:w w:val="95"/>
          <w:sz w:val="32"/>
          <w:lang w:val="en-US" w:eastAsia="zh-CN"/>
        </w:rPr>
        <w:t>教务处</w:t>
      </w:r>
    </w:p>
    <w:p w14:paraId="4C217274">
      <w:pPr>
        <w:tabs>
          <w:tab w:val="left" w:pos="1603"/>
          <w:tab w:val="left" w:pos="3505"/>
          <w:tab w:val="left" w:pos="6860"/>
        </w:tabs>
        <w:spacing w:line="560" w:lineRule="exact"/>
        <w:ind w:firstLine="632" w:firstLineChars="200"/>
        <w:jc w:val="both"/>
        <w:rPr>
          <w:rFonts w:hint="eastAsia"/>
          <w:sz w:val="32"/>
        </w:rPr>
      </w:pPr>
      <w:r>
        <w:rPr>
          <w:rFonts w:hint="eastAsia"/>
          <w:w w:val="99"/>
          <w:sz w:val="32"/>
        </w:rPr>
        <w:t>3</w:t>
      </w:r>
      <w:r>
        <w:rPr>
          <w:w w:val="99"/>
          <w:sz w:val="32"/>
        </w:rPr>
        <w:t>.最</w:t>
      </w:r>
      <w:r>
        <w:rPr>
          <w:spacing w:val="2"/>
          <w:w w:val="99"/>
          <w:sz w:val="32"/>
        </w:rPr>
        <w:t>高</w:t>
      </w:r>
      <w:r>
        <w:rPr>
          <w:w w:val="99"/>
          <w:sz w:val="32"/>
        </w:rPr>
        <w:t>限价：</w:t>
      </w:r>
      <w:r>
        <w:rPr>
          <w:rFonts w:hint="eastAsia"/>
          <w:sz w:val="32"/>
          <w:lang w:val="en-US" w:eastAsia="zh-CN"/>
        </w:rPr>
        <w:t>73000</w:t>
      </w:r>
      <w:r>
        <w:rPr>
          <w:sz w:val="32"/>
        </w:rPr>
        <w:t>元（大写：人民币</w:t>
      </w:r>
      <w:r>
        <w:rPr>
          <w:rFonts w:hint="eastAsia"/>
          <w:sz w:val="32"/>
          <w:lang w:val="en-US" w:eastAsia="zh-CN"/>
        </w:rPr>
        <w:t>七万三千元</w:t>
      </w:r>
      <w:r>
        <w:rPr>
          <w:sz w:val="32"/>
        </w:rPr>
        <w:t>整</w:t>
      </w:r>
      <w:r>
        <w:rPr>
          <w:spacing w:val="-159"/>
          <w:sz w:val="32"/>
        </w:rPr>
        <w:t>）</w:t>
      </w:r>
      <w:r>
        <w:rPr>
          <w:spacing w:val="-3"/>
          <w:w w:val="99"/>
          <w:sz w:val="32"/>
        </w:rPr>
        <w:t>，</w:t>
      </w:r>
      <w:r>
        <w:rPr>
          <w:spacing w:val="-15"/>
          <w:w w:val="99"/>
          <w:sz w:val="32"/>
        </w:rPr>
        <w:t>供</w:t>
      </w:r>
      <w:r>
        <w:rPr>
          <w:sz w:val="32"/>
        </w:rPr>
        <w:t>应商报价高于最高限价按无效报价处理。</w:t>
      </w:r>
    </w:p>
    <w:p w14:paraId="40D30831">
      <w:pPr>
        <w:pStyle w:val="2"/>
        <w:spacing w:line="560" w:lineRule="exact"/>
        <w:jc w:val="center"/>
        <w:rPr>
          <w:rFonts w:hint="eastAsia" w:ascii="黑体" w:eastAsia="黑体"/>
        </w:rPr>
      </w:pPr>
      <w:r>
        <w:rPr>
          <w:rFonts w:hint="eastAsia" w:ascii="黑体" w:eastAsia="黑体"/>
        </w:rPr>
        <w:t>二、采购标的</w:t>
      </w:r>
    </w:p>
    <w:p w14:paraId="713B461C">
      <w:pPr>
        <w:spacing w:line="560" w:lineRule="exact"/>
        <w:ind w:firstLine="640" w:firstLineChars="200"/>
        <w:rPr>
          <w:rFonts w:hint="eastAsia"/>
          <w:b/>
          <w:sz w:val="32"/>
        </w:rPr>
      </w:pPr>
      <w:r>
        <w:rPr>
          <w:sz w:val="32"/>
        </w:rPr>
        <w:t>（一）标的清单</w:t>
      </w:r>
    </w:p>
    <w:tbl>
      <w:tblPr>
        <w:tblStyle w:val="10"/>
        <w:tblW w:w="79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9"/>
        <w:gridCol w:w="4643"/>
        <w:gridCol w:w="1418"/>
        <w:gridCol w:w="1113"/>
      </w:tblGrid>
      <w:tr w14:paraId="3C652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69" w:type="dxa"/>
            <w:vAlign w:val="center"/>
          </w:tcPr>
          <w:p w14:paraId="112CC0C6">
            <w:pPr>
              <w:pStyle w:val="16"/>
              <w:spacing w:line="560" w:lineRule="exact"/>
              <w:jc w:val="center"/>
              <w:rPr>
                <w:rFonts w:hint="eastAsia"/>
                <w:b/>
                <w:sz w:val="32"/>
              </w:rPr>
            </w:pPr>
            <w:r>
              <w:rPr>
                <w:b/>
                <w:w w:val="95"/>
                <w:sz w:val="32"/>
              </w:rPr>
              <w:t>序号</w:t>
            </w:r>
          </w:p>
        </w:tc>
        <w:tc>
          <w:tcPr>
            <w:tcW w:w="4643" w:type="dxa"/>
            <w:vAlign w:val="center"/>
          </w:tcPr>
          <w:p w14:paraId="6DB92E2B">
            <w:pPr>
              <w:pStyle w:val="16"/>
              <w:spacing w:line="560" w:lineRule="exact"/>
              <w:jc w:val="center"/>
              <w:rPr>
                <w:rFonts w:hint="eastAsia"/>
                <w:b/>
                <w:sz w:val="32"/>
              </w:rPr>
            </w:pPr>
            <w:r>
              <w:rPr>
                <w:b/>
                <w:w w:val="95"/>
                <w:sz w:val="32"/>
              </w:rPr>
              <w:t>货物/服务名称</w:t>
            </w:r>
          </w:p>
        </w:tc>
        <w:tc>
          <w:tcPr>
            <w:tcW w:w="1418" w:type="dxa"/>
            <w:vAlign w:val="center"/>
          </w:tcPr>
          <w:p w14:paraId="35225909">
            <w:pPr>
              <w:pStyle w:val="16"/>
              <w:spacing w:line="560" w:lineRule="exact"/>
              <w:jc w:val="center"/>
              <w:rPr>
                <w:rFonts w:hint="eastAsia"/>
                <w:b/>
                <w:sz w:val="32"/>
              </w:rPr>
            </w:pPr>
            <w:r>
              <w:rPr>
                <w:b/>
                <w:sz w:val="32"/>
              </w:rPr>
              <w:t>单位</w:t>
            </w:r>
          </w:p>
        </w:tc>
        <w:tc>
          <w:tcPr>
            <w:tcW w:w="1113" w:type="dxa"/>
            <w:vAlign w:val="center"/>
          </w:tcPr>
          <w:p w14:paraId="15E13E21">
            <w:pPr>
              <w:pStyle w:val="16"/>
              <w:spacing w:line="560" w:lineRule="exact"/>
              <w:jc w:val="center"/>
              <w:rPr>
                <w:rFonts w:hint="eastAsia"/>
                <w:b/>
                <w:sz w:val="32"/>
              </w:rPr>
            </w:pPr>
            <w:r>
              <w:rPr>
                <w:b/>
                <w:sz w:val="32"/>
              </w:rPr>
              <w:t>数量</w:t>
            </w:r>
          </w:p>
        </w:tc>
      </w:tr>
      <w:tr w14:paraId="3C377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jc w:val="center"/>
        </w:trPr>
        <w:tc>
          <w:tcPr>
            <w:tcW w:w="769" w:type="dxa"/>
          </w:tcPr>
          <w:p w14:paraId="4CA81DFA">
            <w:pPr>
              <w:pStyle w:val="16"/>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4643" w:type="dxa"/>
          </w:tcPr>
          <w:p w14:paraId="0A61F092">
            <w:pPr>
              <w:pStyle w:val="16"/>
              <w:spacing w:line="5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教务系统维保服务</w:t>
            </w:r>
          </w:p>
        </w:tc>
        <w:tc>
          <w:tcPr>
            <w:tcW w:w="1418" w:type="dxa"/>
          </w:tcPr>
          <w:p w14:paraId="7C523126">
            <w:pPr>
              <w:pStyle w:val="16"/>
              <w:spacing w:line="560" w:lineRule="exact"/>
              <w:ind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项/年</w:t>
            </w:r>
          </w:p>
        </w:tc>
        <w:tc>
          <w:tcPr>
            <w:tcW w:w="1113" w:type="dxa"/>
          </w:tcPr>
          <w:p w14:paraId="53F063EC">
            <w:pPr>
              <w:pStyle w:val="16"/>
              <w:spacing w:line="5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bl>
    <w:p w14:paraId="617FFE2A">
      <w:pPr>
        <w:spacing w:line="560" w:lineRule="exact"/>
        <w:ind w:firstLine="643" w:firstLineChars="200"/>
        <w:rPr>
          <w:rFonts w:hint="eastAsia"/>
          <w:b/>
          <w:sz w:val="32"/>
        </w:rPr>
      </w:pPr>
      <w:r>
        <w:rPr>
          <w:b/>
          <w:sz w:val="32"/>
        </w:rPr>
        <w:t>（二）具体技术参数及性能要求</w:t>
      </w:r>
    </w:p>
    <w:tbl>
      <w:tblPr>
        <w:tblStyle w:val="7"/>
        <w:tblpPr w:leftFromText="180" w:rightFromText="180" w:vertAnchor="text" w:horzAnchor="page" w:tblpX="1797" w:tblpY="29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
        <w:gridCol w:w="931"/>
        <w:gridCol w:w="6018"/>
        <w:gridCol w:w="1059"/>
      </w:tblGrid>
      <w:tr w14:paraId="76FD8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 w:type="pct"/>
            <w:tcBorders>
              <w:top w:val="single" w:color="auto" w:sz="4" w:space="0"/>
              <w:left w:val="single" w:color="auto" w:sz="4" w:space="0"/>
              <w:bottom w:val="single" w:color="auto" w:sz="4" w:space="0"/>
              <w:right w:val="single" w:color="auto" w:sz="4" w:space="0"/>
            </w:tcBorders>
            <w:noWrap w:val="0"/>
            <w:vAlign w:val="center"/>
          </w:tcPr>
          <w:p w14:paraId="2AC4FFED">
            <w:pPr>
              <w:jc w:val="center"/>
              <w:rPr>
                <w:rFonts w:hint="default" w:ascii="宋体" w:hAnsi="宋体"/>
                <w:kern w:val="0"/>
                <w:sz w:val="24"/>
                <w:szCs w:val="24"/>
                <w:lang w:val="en-US" w:eastAsia="zh-CN"/>
              </w:rPr>
            </w:pPr>
            <w:r>
              <w:rPr>
                <w:rFonts w:hint="eastAsia" w:ascii="宋体" w:hAnsi="宋体"/>
                <w:kern w:val="0"/>
                <w:sz w:val="24"/>
                <w:szCs w:val="24"/>
                <w:lang w:val="en-US" w:eastAsia="zh-CN"/>
              </w:rPr>
              <w:t>序号</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52C9ABAC">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系统名称</w:t>
            </w:r>
          </w:p>
        </w:tc>
        <w:tc>
          <w:tcPr>
            <w:tcW w:w="6017" w:type="dxa"/>
            <w:tcBorders>
              <w:top w:val="single" w:color="auto" w:sz="4" w:space="0"/>
              <w:left w:val="single" w:color="auto" w:sz="4" w:space="0"/>
              <w:bottom w:val="single" w:color="auto" w:sz="4" w:space="0"/>
              <w:right w:val="single" w:color="auto" w:sz="4" w:space="0"/>
            </w:tcBorders>
            <w:noWrap w:val="0"/>
            <w:vAlign w:val="center"/>
          </w:tcPr>
          <w:p w14:paraId="67EA48C4">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维保明细</w:t>
            </w:r>
          </w:p>
        </w:tc>
        <w:tc>
          <w:tcPr>
            <w:tcW w:w="621" w:type="pct"/>
            <w:tcBorders>
              <w:top w:val="single" w:color="auto" w:sz="4" w:space="0"/>
              <w:left w:val="single" w:color="auto" w:sz="4" w:space="0"/>
              <w:bottom w:val="single" w:color="auto" w:sz="4" w:space="0"/>
              <w:right w:val="single" w:color="auto" w:sz="4" w:space="0"/>
            </w:tcBorders>
            <w:noWrap w:val="0"/>
            <w:vAlign w:val="center"/>
          </w:tcPr>
          <w:p w14:paraId="6BD2049F">
            <w:pPr>
              <w:spacing w:line="360" w:lineRule="auto"/>
              <w:jc w:val="center"/>
              <w:rPr>
                <w:rFonts w:hint="default" w:ascii="宋体" w:hAnsi="宋体"/>
                <w:kern w:val="0"/>
                <w:sz w:val="24"/>
                <w:szCs w:val="24"/>
                <w:lang w:val="en-US" w:eastAsia="zh-CN"/>
              </w:rPr>
            </w:pPr>
            <w:r>
              <w:rPr>
                <w:rFonts w:hint="eastAsia" w:ascii="宋体" w:hAnsi="宋体"/>
                <w:kern w:val="0"/>
                <w:sz w:val="24"/>
                <w:szCs w:val="24"/>
                <w:lang w:val="en-US" w:eastAsia="zh-CN"/>
              </w:rPr>
              <w:t>单位</w:t>
            </w:r>
          </w:p>
        </w:tc>
      </w:tr>
      <w:tr w14:paraId="7C52B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 w:type="pct"/>
            <w:tcBorders>
              <w:top w:val="single" w:color="auto" w:sz="4" w:space="0"/>
              <w:left w:val="single" w:color="auto" w:sz="4" w:space="0"/>
              <w:bottom w:val="single" w:color="auto" w:sz="4" w:space="0"/>
              <w:right w:val="single" w:color="auto" w:sz="4" w:space="0"/>
            </w:tcBorders>
            <w:noWrap w:val="0"/>
            <w:vAlign w:val="center"/>
          </w:tcPr>
          <w:p w14:paraId="056806F1">
            <w:pPr>
              <w:jc w:val="center"/>
              <w:rPr>
                <w:rFonts w:hint="default" w:ascii="宋体" w:hAnsi="宋体" w:eastAsia="宋体"/>
                <w:kern w:val="0"/>
                <w:sz w:val="24"/>
                <w:szCs w:val="24"/>
                <w:lang w:val="en-US" w:eastAsia="zh-CN"/>
              </w:rPr>
            </w:pPr>
            <w:r>
              <w:rPr>
                <w:rFonts w:hint="eastAsia" w:ascii="宋体" w:hAnsi="宋体"/>
                <w:kern w:val="0"/>
                <w:sz w:val="24"/>
                <w:szCs w:val="24"/>
                <w:lang w:val="en-US" w:eastAsia="zh-CN"/>
              </w:rPr>
              <w:t>1</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15F93F6E">
            <w:pPr>
              <w:keepNext w:val="0"/>
              <w:keepLines w:val="0"/>
              <w:widowControl/>
              <w:suppressLineNumbers w:val="0"/>
              <w:jc w:val="left"/>
              <w:textAlignment w:val="center"/>
              <w:rPr>
                <w:rFonts w:hint="eastAsia" w:ascii="宋体" w:hAnsi="宋体" w:eastAsia="宋体"/>
                <w:kern w:val="0"/>
                <w:sz w:val="24"/>
                <w:szCs w:val="24"/>
                <w:lang w:eastAsia="zh-CN"/>
              </w:rPr>
            </w:pPr>
            <w:r>
              <w:rPr>
                <w:rFonts w:hint="eastAsia" w:ascii="仿宋" w:hAnsi="仿宋" w:eastAsia="仿宋" w:cs="仿宋"/>
                <w:i w:val="0"/>
                <w:iCs w:val="0"/>
                <w:color w:val="000000"/>
                <w:kern w:val="0"/>
                <w:sz w:val="22"/>
                <w:szCs w:val="22"/>
                <w:u w:val="none"/>
                <w:lang w:val="en-US" w:eastAsia="zh-CN" w:bidi="ar"/>
              </w:rPr>
              <w:t>宁德职业技术学院教务综合管理平台</w:t>
            </w:r>
          </w:p>
        </w:tc>
        <w:tc>
          <w:tcPr>
            <w:tcW w:w="6017" w:type="dxa"/>
            <w:tcBorders>
              <w:top w:val="single" w:color="auto" w:sz="4" w:space="0"/>
              <w:left w:val="single" w:color="auto" w:sz="4" w:space="0"/>
              <w:bottom w:val="single" w:color="auto" w:sz="4" w:space="0"/>
              <w:right w:val="single" w:color="auto" w:sz="4" w:space="0"/>
            </w:tcBorders>
            <w:noWrap w:val="0"/>
            <w:vAlign w:val="center"/>
          </w:tcPr>
          <w:p w14:paraId="7C3AC7F5">
            <w:pPr>
              <w:keepNext w:val="0"/>
              <w:keepLines w:val="0"/>
              <w:widowControl/>
              <w:suppressLineNumbers w:val="0"/>
              <w:jc w:val="left"/>
              <w:textAlignment w:val="center"/>
              <w:rPr>
                <w:rFonts w:hint="eastAsia" w:ascii="宋体" w:hAnsi="宋体"/>
                <w:kern w:val="0"/>
                <w:sz w:val="24"/>
                <w:szCs w:val="24"/>
              </w:rPr>
            </w:pPr>
            <w:r>
              <w:rPr>
                <w:rFonts w:hint="eastAsia" w:ascii="仿宋" w:hAnsi="仿宋" w:eastAsia="仿宋" w:cs="仿宋"/>
                <w:i w:val="0"/>
                <w:iCs w:val="0"/>
                <w:color w:val="000000"/>
                <w:kern w:val="0"/>
                <w:sz w:val="22"/>
                <w:szCs w:val="22"/>
                <w:u w:val="none"/>
                <w:lang w:val="en-US" w:eastAsia="zh-CN" w:bidi="ar"/>
              </w:rPr>
              <w:t>为了保证教务管理相关业务的正常开展，确保教务综合管理平台系统7X24小时正常运行，因此需要对教务综合管理平台系统进行维保。</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供应商按照采购方服务要求提供教务综合管理平台运维服务，保障教务综合管理平台稳定高效运行，以“永久支持，快速响应，确保应用”为总体目标，接收、确认客户反馈的问题/需求，及时解决系统问题、满足个性需求，建立并维护完整、准确、详细的客户使用档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一、运维服务内容要求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供应商能够提供保障教务综合管理平台的正常运行所需要的维保技术服务，包括软件运行保障、BUG管理、需求管理、技术培训、咨询指导等维护技术服务。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1）软件运行保障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1、故障处理保障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保障软件系统的运行正常；提供7x24技术服务；在软件发生故障时在接到学校方通知维修后服务响应时间2小时，24小时内修复故障。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服务期内，如果系统发生故障，调查事故原因并完成修复。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故障处理的主要工作内容和职责包括：①系统运行期间出现故障由供应商及时进行处理解决。②在系统出现非停机质的故障如系统运行缓慢时，视同系统故障。③在系统故障原因不明时，由供应商负责故障诊断。④对系统故障提出故障处理建议，由供应商进行排除、系统调优、重置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2、数据维护保障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根据部署结构和系统运行现状，制定和完善现有系统备份策略，提供多种备份策略方案，配合学校完成备份策略确定以及日常备份工作实施。根据系统并发量、客户访问量、在线率等，制定和调整现有部署方案，提升系统的性能和可靠性。提供数据恢复服务，因操作不当或其它原因导致数据丢失，协助用户恢复数据。提供数据调整服务，因操作不当或其它原因造成数据出现部分或全部错误，协助用户进行数据调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2）BUG管理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接收并处理用户反馈的系统BUG，同时，形成BUG处理情况汇总表。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3）需求管理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双方就业务功能需求或者等保涉及功能需求进行确认后，每年提供7人天的需求设计、开发与测试等研发服务。同时，形成需求处理情况汇总表。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4）技术培训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由于学校相应岗位更换操作人员，对学校的相关操作人员提供技术培训服务。同时，形成技术培训汇总表。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5）咨询服务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服务期内软件使用过程中出现的各类问题进行解答，对用户在系统使用过程中遇到的操作性、业务性、维护性等各类问题，协助学校用户进行解答并帮助其解决问题，同时记录问题，帮助用户更好理解和使用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为学校相关操作人员提供7x24远程的技术咨询与指导服务。建立以QQ群为主体，电话为辅助的沟通模式。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6）系统维护监管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提供专门的系统维护平台，平台提供服务进度跟踪、测试、数据清理、运行环境修复等功能，指派专人对实施、监测服务状态进行监控和管理，对运行报警状态进行及时发现和解决。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7）系统定期巡检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供应商提供技术支持和维护人员定期对系统的运行进行例行巡查和全面的健康健康检查，巡查的周期根据系统的运行情况进行调整，了解系统运行情况，及时发现和排除潜在的问题或故障隐患，保证系统的稳定运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检查的内容包括：①教务系统数据库的状态，查看数据库空间情况，性能情况，系统异常记录，②教务系统应用程序的运行状况，是否可访问，各项服务是否正常运转，性能状况，应用系统的日志等。③系统备份情况，是否自动备份。每次检查结束后向学校提供系统运行状况评估报告等。④服务器系统日常维护服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二、运维服务团队要求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供应商需要提供专业运维团队支撑，负责教务综合管理平台的日常运维服务，并保障教务管理工作的稳定和正常运行。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三、运维服务方式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1）提供电话支持：供应商对教务综合管理平台的运行、维护提供7X24小时的实时技术支持；提供热线电话或QQ等方式随时回答用户各种技术问题并在24小时内提出解决方案。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 故障响应：7×24小时的实时故障响应。供应商在出现系统故障的30分钟内给予响应，一般性故障4小时内恢复运行，重大故障24小时内恢复运行。 对于不能明确是否是硬件或数据库出现故障时，尽力配合学校进行检查。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技术支持：当系统出现故障，经用户许可后，供应商远程登录用户系统，进行故障分析、问题定位并提供解决方案。对系统进行的任何配置、数据改动及其它可能对系统和业务造成不良影响的操作，确保经用户确认后进行。当系统运行环境出现严重故障，或因更换服务器等原因需要重新搭建系统时，供应商将及时提供切实可行的建议，通过远程支持不能及时解决问题时，派技术支持人员赶赴现场，协助用户完成故障排除，对系统进行完整性检查并跟踪运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四、运维服务范围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1、业务系统：我的首页、公共信息、培养方案、学籍管理、开课管理、校内实习、课表管理、选课管理、等级考试、考试管理、成绩管理、系统运维等业务系统。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2、配合学校网络信息安全管理要求、予以整改并加强系统安全措施，达到信息系统安全等级保护级别的要求。</w:t>
            </w:r>
          </w:p>
        </w:tc>
        <w:tc>
          <w:tcPr>
            <w:tcW w:w="621" w:type="pct"/>
            <w:tcBorders>
              <w:top w:val="single" w:color="auto" w:sz="4" w:space="0"/>
              <w:left w:val="single" w:color="auto" w:sz="4" w:space="0"/>
              <w:bottom w:val="single" w:color="auto" w:sz="4" w:space="0"/>
              <w:right w:val="single" w:color="auto" w:sz="4" w:space="0"/>
            </w:tcBorders>
            <w:noWrap w:val="0"/>
            <w:vAlign w:val="center"/>
          </w:tcPr>
          <w:p w14:paraId="0FDAF1B7">
            <w:pPr>
              <w:spacing w:line="360" w:lineRule="auto"/>
              <w:jc w:val="center"/>
              <w:rPr>
                <w:rFonts w:hint="default" w:ascii="宋体" w:hAnsi="宋体" w:eastAsia="宋体"/>
                <w:kern w:val="0"/>
                <w:sz w:val="24"/>
                <w:szCs w:val="24"/>
                <w:lang w:val="en-US" w:eastAsia="zh-CN"/>
              </w:rPr>
            </w:pPr>
            <w:r>
              <w:rPr>
                <w:rFonts w:hint="eastAsia" w:ascii="宋体" w:hAnsi="宋体"/>
                <w:kern w:val="0"/>
                <w:sz w:val="24"/>
                <w:szCs w:val="24"/>
                <w:lang w:val="en-US" w:eastAsia="zh-CN"/>
              </w:rPr>
              <w:t>1年</w:t>
            </w:r>
          </w:p>
        </w:tc>
      </w:tr>
    </w:tbl>
    <w:p w14:paraId="1634E67C">
      <w:pPr>
        <w:pStyle w:val="2"/>
        <w:spacing w:line="560" w:lineRule="exact"/>
        <w:ind w:firstLine="640" w:firstLineChars="200"/>
        <w:rPr>
          <w:rFonts w:hint="eastAsia" w:ascii="黑体" w:eastAsia="黑体"/>
        </w:rPr>
      </w:pPr>
      <w:r>
        <w:rPr>
          <w:rFonts w:hint="eastAsia" w:ascii="黑体" w:eastAsia="黑体"/>
        </w:rPr>
        <w:t>三、评审办法</w:t>
      </w:r>
    </w:p>
    <w:p w14:paraId="2DA5CB3E">
      <w:pPr>
        <w:pStyle w:val="2"/>
        <w:spacing w:line="560" w:lineRule="exact"/>
        <w:ind w:firstLine="608" w:firstLineChars="200"/>
        <w:jc w:val="both"/>
        <w:rPr>
          <w:rFonts w:hint="eastAsia"/>
        </w:rPr>
      </w:pPr>
      <w:r>
        <w:rPr>
          <w:w w:val="95"/>
        </w:rPr>
        <w:t>本项目采用最低评标价法。供应商响应文件满足本项目</w:t>
      </w:r>
      <w:r>
        <w:rPr>
          <w:spacing w:val="11"/>
          <w:w w:val="95"/>
        </w:rPr>
        <w:t>全部实质性要求且报价最低的供应商为成交候选人的比选</w:t>
      </w:r>
      <w:r>
        <w:t>方法。出现最低报价相同者则抽签决定成交人。</w:t>
      </w:r>
    </w:p>
    <w:p w14:paraId="2B4169FC">
      <w:pPr>
        <w:pStyle w:val="2"/>
        <w:spacing w:line="560" w:lineRule="exact"/>
        <w:ind w:firstLine="640" w:firstLineChars="200"/>
        <w:rPr>
          <w:rFonts w:hint="eastAsia" w:ascii="黑体" w:eastAsia="黑体"/>
        </w:rPr>
      </w:pPr>
      <w:r>
        <w:rPr>
          <w:rFonts w:hint="eastAsia" w:ascii="黑体" w:eastAsia="黑体"/>
        </w:rPr>
        <w:t>四、项目验收</w:t>
      </w:r>
    </w:p>
    <w:p w14:paraId="47B325E0">
      <w:pPr>
        <w:tabs>
          <w:tab w:val="left" w:pos="1612"/>
        </w:tabs>
        <w:spacing w:line="560" w:lineRule="exact"/>
        <w:ind w:firstLine="652" w:firstLineChars="200"/>
        <w:jc w:val="both"/>
        <w:rPr>
          <w:rFonts w:hint="eastAsia"/>
          <w:sz w:val="32"/>
        </w:rPr>
      </w:pPr>
      <w:r>
        <w:rPr>
          <w:rFonts w:hint="eastAsia"/>
          <w:spacing w:val="11"/>
          <w:w w:val="95"/>
          <w:sz w:val="32"/>
        </w:rPr>
        <w:t>（一）</w:t>
      </w:r>
      <w:r>
        <w:rPr>
          <w:spacing w:val="11"/>
          <w:w w:val="95"/>
          <w:sz w:val="32"/>
        </w:rPr>
        <w:t>按厂家设备验收标准(符合国家或行业或地方标准)</w:t>
      </w:r>
      <w:r>
        <w:rPr>
          <w:spacing w:val="1"/>
          <w:w w:val="95"/>
          <w:sz w:val="32"/>
        </w:rPr>
        <w:t xml:space="preserve"> </w:t>
      </w:r>
      <w:r>
        <w:rPr>
          <w:spacing w:val="11"/>
          <w:w w:val="95"/>
          <w:sz w:val="32"/>
        </w:rPr>
        <w:t>以及合同等相关文件执行。验收结果应符合采购人使用要</w:t>
      </w:r>
      <w:r>
        <w:rPr>
          <w:sz w:val="32"/>
        </w:rPr>
        <w:t>求。</w:t>
      </w:r>
    </w:p>
    <w:p w14:paraId="62BCB253">
      <w:pPr>
        <w:tabs>
          <w:tab w:val="left" w:pos="1603"/>
        </w:tabs>
        <w:spacing w:line="560" w:lineRule="exact"/>
        <w:ind w:firstLine="608" w:firstLineChars="200"/>
        <w:jc w:val="both"/>
        <w:rPr>
          <w:rFonts w:hint="eastAsia"/>
          <w:sz w:val="32"/>
        </w:rPr>
      </w:pPr>
      <w:r>
        <w:rPr>
          <w:rFonts w:hint="eastAsia"/>
          <w:w w:val="95"/>
          <w:sz w:val="32"/>
        </w:rPr>
        <w:t>（二）</w:t>
      </w:r>
      <w:r>
        <w:rPr>
          <w:w w:val="95"/>
          <w:sz w:val="32"/>
        </w:rPr>
        <w:t>验收结果经双方确认后，双方代表必须按规定的验收交接单上的项目对照本项目要求填好验收结果并签名盖章。</w:t>
      </w:r>
    </w:p>
    <w:p w14:paraId="3C064057">
      <w:pPr>
        <w:pStyle w:val="2"/>
        <w:spacing w:line="560" w:lineRule="exact"/>
        <w:ind w:firstLine="640" w:firstLineChars="200"/>
        <w:rPr>
          <w:rFonts w:hint="eastAsia" w:ascii="黑体" w:eastAsia="黑体"/>
        </w:rPr>
      </w:pPr>
      <w:r>
        <w:rPr>
          <w:rFonts w:hint="eastAsia" w:ascii="黑体" w:eastAsia="黑体"/>
        </w:rPr>
        <w:t>五、交货方式、日期及交货地点</w:t>
      </w:r>
    </w:p>
    <w:p w14:paraId="0E28D101">
      <w:pPr>
        <w:tabs>
          <w:tab w:val="left" w:pos="1610"/>
        </w:tabs>
        <w:spacing w:line="560" w:lineRule="exact"/>
        <w:ind w:firstLine="640" w:firstLineChars="200"/>
        <w:jc w:val="both"/>
        <w:rPr>
          <w:rFonts w:hint="eastAsia"/>
          <w:sz w:val="32"/>
        </w:rPr>
      </w:pPr>
      <w:r>
        <w:rPr>
          <w:rFonts w:hint="eastAsia"/>
          <w:sz w:val="32"/>
        </w:rPr>
        <w:t>（一）</w:t>
      </w:r>
      <w:r>
        <w:rPr>
          <w:sz w:val="32"/>
        </w:rPr>
        <w:t>采购合同生效后</w:t>
      </w:r>
      <w:r>
        <w:rPr>
          <w:rFonts w:hint="eastAsia"/>
          <w:sz w:val="32"/>
          <w:u w:val="single"/>
          <w:lang w:val="en-US" w:eastAsia="zh-CN"/>
        </w:rPr>
        <w:t xml:space="preserve">  3  </w:t>
      </w:r>
      <w:r>
        <w:rPr>
          <w:sz w:val="32"/>
        </w:rPr>
        <w:t>日内，成交供应商需提供</w:t>
      </w:r>
      <w:r>
        <w:rPr>
          <w:rFonts w:hint="eastAsia"/>
          <w:sz w:val="32"/>
          <w:lang w:val="en-US" w:eastAsia="zh-CN"/>
        </w:rPr>
        <w:t>维保服务负责人信息，并进行软件第一次巡检，并创建联系人列表</w:t>
      </w:r>
      <w:r>
        <w:rPr>
          <w:w w:val="99"/>
          <w:sz w:val="32"/>
        </w:rPr>
        <w:t>。</w:t>
      </w:r>
    </w:p>
    <w:p w14:paraId="340ED25C">
      <w:pPr>
        <w:tabs>
          <w:tab w:val="left" w:pos="1607"/>
        </w:tabs>
        <w:spacing w:line="560" w:lineRule="exact"/>
        <w:ind w:firstLine="640" w:firstLineChars="200"/>
        <w:jc w:val="both"/>
        <w:rPr>
          <w:rFonts w:hint="eastAsia"/>
          <w:sz w:val="32"/>
        </w:rPr>
      </w:pPr>
      <w:r>
        <w:rPr>
          <w:rFonts w:hint="eastAsia"/>
          <w:sz w:val="32"/>
        </w:rPr>
        <w:t>（二）</w:t>
      </w:r>
      <w:r>
        <w:rPr>
          <w:sz w:val="32"/>
        </w:rPr>
        <w:t>交货地点：采购人指定地点。</w:t>
      </w:r>
    </w:p>
    <w:p w14:paraId="569D1C10">
      <w:pPr>
        <w:pStyle w:val="2"/>
        <w:spacing w:line="560" w:lineRule="exact"/>
        <w:ind w:firstLine="640" w:firstLineChars="200"/>
        <w:rPr>
          <w:rFonts w:hint="eastAsia" w:ascii="黑体" w:eastAsia="黑体"/>
        </w:rPr>
      </w:pPr>
      <w:r>
        <w:rPr>
          <w:rFonts w:hint="eastAsia" w:ascii="黑体" w:eastAsia="黑体"/>
        </w:rPr>
        <w:t>六、付款时间与方式</w:t>
      </w:r>
    </w:p>
    <w:p w14:paraId="44A114FD">
      <w:pPr>
        <w:tabs>
          <w:tab w:val="left" w:pos="1452"/>
          <w:tab w:val="left" w:pos="5367"/>
        </w:tabs>
        <w:spacing w:line="560" w:lineRule="exact"/>
        <w:ind w:firstLine="640" w:firstLineChars="200"/>
        <w:rPr>
          <w:rFonts w:hint="eastAsia"/>
          <w:sz w:val="32"/>
        </w:rPr>
      </w:pPr>
      <w:r>
        <w:rPr>
          <w:rFonts w:hint="eastAsia"/>
          <w:sz w:val="32"/>
        </w:rPr>
        <w:t>（一）</w:t>
      </w:r>
      <w:r>
        <w:rPr>
          <w:sz w:val="32"/>
        </w:rPr>
        <w:t>采购人于收到上述</w:t>
      </w:r>
      <w:r>
        <w:rPr>
          <w:rFonts w:hint="eastAsia"/>
          <w:sz w:val="32"/>
          <w:lang w:val="en-US" w:eastAsia="zh-CN"/>
        </w:rPr>
        <w:t>材料</w:t>
      </w:r>
      <w:r>
        <w:rPr>
          <w:rFonts w:hint="eastAsia"/>
          <w:sz w:val="32"/>
          <w:u w:val="single"/>
          <w:lang w:val="en-US" w:eastAsia="zh-CN"/>
        </w:rPr>
        <w:t xml:space="preserve">  3  </w:t>
      </w:r>
      <w:r>
        <w:rPr>
          <w:sz w:val="32"/>
        </w:rPr>
        <w:t>日内凭成交供应商提供的正式税务发票</w:t>
      </w:r>
      <w:r>
        <w:rPr>
          <w:rFonts w:hint="eastAsia"/>
          <w:sz w:val="32"/>
          <w:lang w:val="en-US" w:eastAsia="zh-CN"/>
        </w:rPr>
        <w:t>支付40%</w:t>
      </w:r>
      <w:r>
        <w:rPr>
          <w:sz w:val="32"/>
        </w:rPr>
        <w:t>。</w:t>
      </w:r>
      <w:r>
        <w:rPr>
          <w:rFonts w:hint="eastAsia"/>
          <w:sz w:val="32"/>
        </w:rPr>
        <w:t>本项目服务期满，成交供应商已按约定完成全部服务内容，由成交供应商提出本项目验收申请，经采购人组织验收合格后支付</w:t>
      </w:r>
      <w:r>
        <w:rPr>
          <w:rFonts w:hint="eastAsia"/>
          <w:sz w:val="32"/>
          <w:lang w:val="en-US" w:eastAsia="zh-CN"/>
        </w:rPr>
        <w:t>剩余</w:t>
      </w:r>
      <w:r>
        <w:rPr>
          <w:rFonts w:hint="eastAsia"/>
          <w:sz w:val="32"/>
        </w:rPr>
        <w:t>60%。</w:t>
      </w:r>
    </w:p>
    <w:p w14:paraId="7BFDD573">
      <w:pPr>
        <w:tabs>
          <w:tab w:val="left" w:pos="1603"/>
        </w:tabs>
        <w:spacing w:line="560" w:lineRule="exact"/>
        <w:ind w:firstLine="640" w:firstLineChars="200"/>
        <w:rPr>
          <w:rFonts w:hint="eastAsia"/>
          <w:sz w:val="32"/>
        </w:rPr>
      </w:pPr>
      <w:r>
        <w:rPr>
          <w:rFonts w:hint="eastAsia"/>
          <w:sz w:val="32"/>
        </w:rPr>
        <w:t>（二）</w:t>
      </w:r>
      <w:r>
        <w:rPr>
          <w:sz w:val="32"/>
        </w:rPr>
        <w:t>履约保证金</w:t>
      </w:r>
    </w:p>
    <w:p w14:paraId="1F8CA095">
      <w:pPr>
        <w:pStyle w:val="2"/>
        <w:spacing w:line="560" w:lineRule="exact"/>
        <w:ind w:firstLine="716" w:firstLineChars="200"/>
        <w:jc w:val="both"/>
        <w:rPr>
          <w:rFonts w:hint="eastAsia"/>
        </w:rPr>
      </w:pPr>
      <w:r>
        <w:rPr>
          <w:rFonts w:hint="eastAsia"/>
          <w:spacing w:val="19"/>
          <w:lang w:eastAsia="zh-CN"/>
        </w:rPr>
        <w:t>☑</w:t>
      </w:r>
      <w:r>
        <w:rPr>
          <w:spacing w:val="19"/>
        </w:rPr>
        <w:t>无    □有</w:t>
      </w:r>
    </w:p>
    <w:p w14:paraId="0318F8A6">
      <w:pPr>
        <w:pStyle w:val="2"/>
        <w:spacing w:line="560" w:lineRule="exact"/>
        <w:ind w:firstLine="640" w:firstLineChars="200"/>
        <w:rPr>
          <w:rFonts w:hint="eastAsia" w:ascii="黑体" w:eastAsia="黑体"/>
        </w:rPr>
      </w:pPr>
      <w:r>
        <w:rPr>
          <w:rFonts w:hint="eastAsia" w:ascii="黑体" w:eastAsia="黑体"/>
        </w:rPr>
        <w:t>七、知识产权</w:t>
      </w:r>
    </w:p>
    <w:p w14:paraId="1CBCD394">
      <w:pPr>
        <w:tabs>
          <w:tab w:val="left" w:pos="1612"/>
        </w:tabs>
        <w:spacing w:line="560" w:lineRule="exact"/>
        <w:ind w:firstLine="660" w:firstLineChars="200"/>
        <w:jc w:val="both"/>
        <w:rPr>
          <w:rFonts w:hint="eastAsia"/>
          <w:w w:val="95"/>
          <w:sz w:val="32"/>
        </w:rPr>
      </w:pPr>
      <w:r>
        <w:rPr>
          <w:rFonts w:hint="eastAsia"/>
          <w:spacing w:val="13"/>
          <w:w w:val="95"/>
          <w:sz w:val="32"/>
        </w:rPr>
        <w:t>（一）</w:t>
      </w:r>
      <w:r>
        <w:rPr>
          <w:spacing w:val="13"/>
          <w:w w:val="95"/>
          <w:sz w:val="32"/>
        </w:rPr>
        <w:t>成交供应商提供的采购标的应符合国家知识产权法</w:t>
      </w:r>
      <w:r>
        <w:rPr>
          <w:w w:val="95"/>
          <w:sz w:val="32"/>
        </w:rPr>
        <w:t>律、法规的规定且非假冒伪劣品；成交供应商还应保证采购</w:t>
      </w:r>
      <w:r>
        <w:rPr>
          <w:spacing w:val="1"/>
          <w:w w:val="95"/>
          <w:sz w:val="32"/>
        </w:rPr>
        <w:t xml:space="preserve"> </w:t>
      </w:r>
      <w:r>
        <w:rPr>
          <w:w w:val="95"/>
          <w:sz w:val="32"/>
        </w:rPr>
        <w:t>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3B449134">
      <w:pPr>
        <w:tabs>
          <w:tab w:val="left" w:pos="1612"/>
        </w:tabs>
        <w:spacing w:line="560" w:lineRule="exact"/>
        <w:ind w:firstLine="660" w:firstLineChars="200"/>
        <w:jc w:val="both"/>
        <w:rPr>
          <w:rFonts w:hint="eastAsia"/>
          <w:sz w:val="32"/>
        </w:rPr>
      </w:pPr>
      <w:r>
        <w:rPr>
          <w:rFonts w:hint="eastAsia"/>
          <w:spacing w:val="13"/>
          <w:w w:val="95"/>
          <w:sz w:val="32"/>
        </w:rPr>
        <w:t>（二）</w:t>
      </w:r>
      <w:r>
        <w:rPr>
          <w:spacing w:val="13"/>
          <w:w w:val="95"/>
          <w:sz w:val="32"/>
        </w:rPr>
        <w:t>若成交供应商提供的采购标的不符合国家知识产权</w:t>
      </w:r>
      <w:r>
        <w:rPr>
          <w:w w:val="95"/>
          <w:sz w:val="32"/>
        </w:rPr>
        <w:t>法律、法规的规定或被有关主管机关认定为假冒伪劣品，则成交供应商中标资格将被取消；采购人还将按照有关法律、法规和规章的规定进行处理，并按本合同约定追究其违约责</w:t>
      </w:r>
      <w:r>
        <w:rPr>
          <w:sz w:val="32"/>
        </w:rPr>
        <w:t>任。</w:t>
      </w:r>
    </w:p>
    <w:p w14:paraId="66F08EE9">
      <w:pPr>
        <w:pStyle w:val="2"/>
        <w:spacing w:line="560" w:lineRule="exact"/>
        <w:ind w:firstLine="640" w:firstLineChars="200"/>
        <w:rPr>
          <w:rFonts w:hint="eastAsia" w:ascii="黑体" w:eastAsia="黑体"/>
        </w:rPr>
      </w:pPr>
      <w:r>
        <w:rPr>
          <w:rFonts w:hint="eastAsia" w:ascii="黑体" w:eastAsia="黑体"/>
        </w:rPr>
        <w:t>八、售后服务要求</w:t>
      </w:r>
    </w:p>
    <w:p w14:paraId="2A74B0E0">
      <w:pPr>
        <w:tabs>
          <w:tab w:val="left" w:pos="1607"/>
        </w:tabs>
        <w:spacing w:line="560" w:lineRule="exact"/>
        <w:ind w:firstLine="608" w:firstLineChars="200"/>
        <w:jc w:val="both"/>
        <w:rPr>
          <w:rFonts w:hint="eastAsia"/>
          <w:sz w:val="32"/>
        </w:rPr>
      </w:pPr>
      <w:r>
        <w:rPr>
          <w:rFonts w:hint="eastAsia"/>
          <w:w w:val="95"/>
          <w:sz w:val="32"/>
        </w:rPr>
        <w:t>（一）</w:t>
      </w:r>
      <w:r>
        <w:rPr>
          <w:w w:val="95"/>
          <w:sz w:val="32"/>
        </w:rPr>
        <w:t>在质量保证期内，如果</w:t>
      </w:r>
      <w:r>
        <w:rPr>
          <w:rFonts w:hint="eastAsia"/>
          <w:w w:val="95"/>
          <w:sz w:val="32"/>
          <w:lang w:val="en-US" w:eastAsia="zh-CN"/>
        </w:rPr>
        <w:t>软件平台出现故障</w:t>
      </w:r>
      <w:r>
        <w:rPr>
          <w:sz w:val="32"/>
        </w:rPr>
        <w:t>，供应商需在</w:t>
      </w:r>
      <w:r>
        <w:rPr>
          <w:spacing w:val="65"/>
          <w:sz w:val="32"/>
          <w:u w:val="single"/>
        </w:rPr>
        <w:t xml:space="preserve"> </w:t>
      </w:r>
      <w:r>
        <w:rPr>
          <w:rFonts w:hint="eastAsia"/>
          <w:spacing w:val="65"/>
          <w:sz w:val="32"/>
          <w:u w:val="single"/>
          <w:lang w:val="en-US" w:eastAsia="zh-CN"/>
        </w:rPr>
        <w:t>1</w:t>
      </w:r>
      <w:r>
        <w:rPr>
          <w:spacing w:val="66"/>
          <w:sz w:val="32"/>
          <w:u w:val="single"/>
        </w:rPr>
        <w:t xml:space="preserve"> </w:t>
      </w:r>
      <w:r>
        <w:rPr>
          <w:sz w:val="32"/>
        </w:rPr>
        <w:t>日内予以有效处理。</w:t>
      </w:r>
    </w:p>
    <w:p w14:paraId="08C5F33C">
      <w:pPr>
        <w:tabs>
          <w:tab w:val="left" w:pos="1607"/>
        </w:tabs>
        <w:spacing w:line="560" w:lineRule="exact"/>
        <w:ind w:firstLine="640" w:firstLineChars="200"/>
        <w:jc w:val="both"/>
        <w:rPr>
          <w:rFonts w:hint="eastAsia"/>
          <w:sz w:val="32"/>
        </w:rPr>
      </w:pPr>
      <w:r>
        <w:rPr>
          <w:rFonts w:hint="eastAsia"/>
          <w:sz w:val="32"/>
        </w:rPr>
        <w:t>（二）</w:t>
      </w:r>
      <w:r>
        <w:rPr>
          <w:sz w:val="32"/>
        </w:rPr>
        <w:t>其他特殊售后服务按实际情况填列附后。</w:t>
      </w:r>
    </w:p>
    <w:p w14:paraId="2EB82A26">
      <w:pPr>
        <w:pStyle w:val="2"/>
        <w:spacing w:line="560" w:lineRule="exact"/>
        <w:ind w:firstLine="640" w:firstLineChars="200"/>
        <w:rPr>
          <w:rFonts w:hint="eastAsia" w:ascii="黑体" w:eastAsia="黑体"/>
        </w:rPr>
      </w:pPr>
      <w:r>
        <w:rPr>
          <w:rFonts w:hint="eastAsia" w:ascii="黑体" w:eastAsia="黑体"/>
        </w:rPr>
        <w:t>九、违约责任</w:t>
      </w:r>
    </w:p>
    <w:p w14:paraId="11E88627">
      <w:pPr>
        <w:tabs>
          <w:tab w:val="left" w:pos="2100"/>
        </w:tabs>
        <w:spacing w:line="560" w:lineRule="exact"/>
        <w:ind w:firstLine="608" w:firstLineChars="200"/>
        <w:jc w:val="both"/>
        <w:rPr>
          <w:rFonts w:hint="eastAsia"/>
          <w:sz w:val="32"/>
        </w:rPr>
      </w:pPr>
      <w:r>
        <w:rPr>
          <w:rFonts w:hint="eastAsia"/>
          <w:w w:val="95"/>
          <w:sz w:val="32"/>
        </w:rPr>
        <w:t>（一）</w:t>
      </w:r>
      <w:r>
        <w:rPr>
          <w:w w:val="95"/>
          <w:sz w:val="32"/>
        </w:rPr>
        <w:t>成交供应商所</w:t>
      </w:r>
      <w:r>
        <w:rPr>
          <w:rFonts w:hint="eastAsia"/>
          <w:w w:val="95"/>
          <w:sz w:val="32"/>
          <w:lang w:val="en-US" w:eastAsia="zh-CN"/>
        </w:rPr>
        <w:t>提供的服务</w:t>
      </w:r>
      <w:r>
        <w:rPr>
          <w:w w:val="95"/>
          <w:sz w:val="32"/>
        </w:rPr>
        <w:t>不符合本采购文件要求的，采购人有权拒收；同时，成交供应商应向采购人赔偿该合同款</w:t>
      </w:r>
      <w:r>
        <w:rPr>
          <w:spacing w:val="160"/>
          <w:sz w:val="32"/>
        </w:rPr>
        <w:t xml:space="preserve"> </w:t>
      </w:r>
      <w:r>
        <w:rPr>
          <w:w w:val="95"/>
          <w:sz w:val="32"/>
        </w:rPr>
        <w:t>20%的违约金，且涉及到的部分合同条款采购人有权终止</w:t>
      </w:r>
      <w:r>
        <w:rPr>
          <w:sz w:val="32"/>
        </w:rPr>
        <w:t>履行。</w:t>
      </w:r>
    </w:p>
    <w:p w14:paraId="083CB62A">
      <w:pPr>
        <w:tabs>
          <w:tab w:val="left" w:pos="2100"/>
        </w:tabs>
        <w:spacing w:line="560" w:lineRule="exact"/>
        <w:ind w:firstLine="632" w:firstLineChars="200"/>
        <w:jc w:val="both"/>
        <w:rPr>
          <w:rFonts w:hint="eastAsia"/>
          <w:sz w:val="32"/>
        </w:rPr>
      </w:pPr>
      <w:r>
        <w:rPr>
          <w:rFonts w:hint="eastAsia"/>
          <w:spacing w:val="6"/>
          <w:w w:val="95"/>
          <w:sz w:val="32"/>
        </w:rPr>
        <w:t>（二）</w:t>
      </w:r>
      <w:r>
        <w:rPr>
          <w:sz w:val="32"/>
        </w:rPr>
        <w:t>成交供应商未经采购人同意单方面终止合同的，成交供应商除了应向采购人赔偿因合同终止导致的损失外，还应向采购人偿付该合同款20%的违约金。</w:t>
      </w:r>
    </w:p>
    <w:p w14:paraId="29305E54">
      <w:pPr>
        <w:tabs>
          <w:tab w:val="left" w:pos="2100"/>
        </w:tabs>
        <w:spacing w:line="560" w:lineRule="exact"/>
        <w:ind w:firstLine="608" w:firstLineChars="200"/>
        <w:jc w:val="both"/>
        <w:rPr>
          <w:rFonts w:hint="eastAsia"/>
          <w:sz w:val="32"/>
        </w:rPr>
      </w:pPr>
      <w:r>
        <w:rPr>
          <w:rFonts w:hint="eastAsia"/>
          <w:w w:val="95"/>
          <w:sz w:val="32"/>
        </w:rPr>
        <w:t>（</w:t>
      </w:r>
      <w:r>
        <w:rPr>
          <w:rFonts w:hint="eastAsia"/>
          <w:w w:val="95"/>
          <w:sz w:val="32"/>
          <w:lang w:val="en-US" w:eastAsia="zh-CN"/>
        </w:rPr>
        <w:t>三</w:t>
      </w:r>
      <w:r>
        <w:rPr>
          <w:rFonts w:hint="eastAsia"/>
          <w:w w:val="95"/>
          <w:sz w:val="32"/>
        </w:rPr>
        <w:t>）</w:t>
      </w:r>
      <w:r>
        <w:rPr>
          <w:w w:val="95"/>
          <w:sz w:val="32"/>
        </w:rPr>
        <w:t>因成交供应商违约对采购人造成损失的赔偿金及</w:t>
      </w:r>
      <w:r>
        <w:rPr>
          <w:spacing w:val="11"/>
          <w:w w:val="95"/>
          <w:sz w:val="32"/>
        </w:rPr>
        <w:t>合同约定的违约金均可由采购人从未支付的合同款或履约</w:t>
      </w:r>
      <w:r>
        <w:rPr>
          <w:sz w:val="32"/>
        </w:rPr>
        <w:t>保证金中扣除。</w:t>
      </w:r>
    </w:p>
    <w:p w14:paraId="3B7BBA87">
      <w:pPr>
        <w:tabs>
          <w:tab w:val="left" w:pos="2100"/>
        </w:tabs>
        <w:spacing w:line="560" w:lineRule="exact"/>
        <w:ind w:firstLine="608" w:firstLineChars="200"/>
        <w:jc w:val="both"/>
        <w:rPr>
          <w:rFonts w:hint="eastAsia"/>
          <w:sz w:val="32"/>
        </w:rPr>
      </w:pPr>
      <w:r>
        <w:rPr>
          <w:rFonts w:hint="eastAsia"/>
          <w:w w:val="95"/>
          <w:sz w:val="32"/>
        </w:rPr>
        <w:t>（</w:t>
      </w:r>
      <w:r>
        <w:rPr>
          <w:rFonts w:hint="eastAsia"/>
          <w:w w:val="95"/>
          <w:sz w:val="32"/>
          <w:lang w:val="en-US" w:eastAsia="zh-CN"/>
        </w:rPr>
        <w:t>四</w:t>
      </w:r>
      <w:r>
        <w:rPr>
          <w:rFonts w:hint="eastAsia"/>
          <w:w w:val="95"/>
          <w:sz w:val="32"/>
        </w:rPr>
        <w:t>）</w:t>
      </w:r>
      <w:r>
        <w:rPr>
          <w:w w:val="95"/>
          <w:sz w:val="32"/>
        </w:rPr>
        <w:t>因采购人原因导致成交供应商未能按合同约定履</w:t>
      </w:r>
      <w:r>
        <w:rPr>
          <w:sz w:val="32"/>
        </w:rPr>
        <w:t>行的，成交供应商可免于承担违约责任。</w:t>
      </w:r>
    </w:p>
    <w:p w14:paraId="08B43C19">
      <w:pPr>
        <w:pStyle w:val="2"/>
        <w:spacing w:line="560" w:lineRule="exact"/>
        <w:ind w:firstLine="640" w:firstLineChars="200"/>
        <w:rPr>
          <w:rFonts w:hint="eastAsia" w:ascii="黑体" w:eastAsia="黑体"/>
        </w:rPr>
      </w:pPr>
      <w:r>
        <w:rPr>
          <w:rFonts w:hint="eastAsia" w:ascii="黑体" w:eastAsia="黑体"/>
        </w:rPr>
        <w:t>十、争议解决</w:t>
      </w:r>
    </w:p>
    <w:p w14:paraId="5688BCCB">
      <w:pPr>
        <w:pStyle w:val="2"/>
        <w:spacing w:line="560" w:lineRule="exact"/>
        <w:ind w:firstLine="608" w:firstLineChars="200"/>
        <w:jc w:val="both"/>
        <w:rPr>
          <w:rFonts w:hint="eastAsia"/>
        </w:rPr>
      </w:pPr>
      <w:r>
        <w:rPr>
          <w:w w:val="95"/>
        </w:rPr>
        <w:t>若因执行合同发生争议，或因合同发生的其他争议，双方应当友好协商解决，协商不成的，均可向</w:t>
      </w:r>
      <w:r>
        <w:rPr>
          <w:rFonts w:hint="eastAsia"/>
          <w:w w:val="95"/>
        </w:rPr>
        <w:t>福安市</w:t>
      </w:r>
      <w:r>
        <w:rPr>
          <w:w w:val="95"/>
        </w:rPr>
        <w:t>人</w:t>
      </w:r>
      <w:r>
        <w:t>民法院起诉。</w:t>
      </w:r>
    </w:p>
    <w:p w14:paraId="2EE5C2E5">
      <w:pPr>
        <w:pStyle w:val="2"/>
        <w:tabs>
          <w:tab w:val="left" w:pos="9375"/>
        </w:tabs>
        <w:rPr>
          <w:rFonts w:hint="eastAsia"/>
        </w:rPr>
      </w:pPr>
      <w:bookmarkStart w:id="9" w:name="_bookmark2"/>
      <w:bookmarkEnd w:id="9"/>
    </w:p>
    <w:sectPr>
      <w:footerReference r:id="rId7" w:type="default"/>
      <w:footerReference r:id="rId8" w:type="even"/>
      <w:pgSz w:w="11910" w:h="16840"/>
      <w:pgMar w:top="1440" w:right="1800" w:bottom="1440" w:left="1800" w:header="0" w:footer="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C6F84">
    <w:pPr>
      <w:pStyle w:val="2"/>
      <w:spacing w:line="14" w:lineRule="auto"/>
      <w:rPr>
        <w:rFonts w:hint="eastAsia"/>
        <w:sz w:val="20"/>
      </w:rPr>
    </w:pPr>
    <w:r>
      <mc:AlternateContent>
        <mc:Choice Requires="wps">
          <w:drawing>
            <wp:anchor distT="0" distB="0" distL="114300" distR="114300" simplePos="0" relativeHeight="251659264" behindDoc="1" locked="0" layoutInCell="1" allowOverlap="1">
              <wp:simplePos x="0" y="0"/>
              <wp:positionH relativeFrom="page">
                <wp:posOffset>5661025</wp:posOffset>
              </wp:positionH>
              <wp:positionV relativeFrom="page">
                <wp:posOffset>9895205</wp:posOffset>
              </wp:positionV>
              <wp:extent cx="598805" cy="224790"/>
              <wp:effectExtent l="0" t="0" r="0" b="0"/>
              <wp:wrapNone/>
              <wp:docPr id="5" name="Text Box 7"/>
              <wp:cNvGraphicFramePr/>
              <a:graphic xmlns:a="http://schemas.openxmlformats.org/drawingml/2006/main">
                <a:graphicData uri="http://schemas.microsoft.com/office/word/2010/wordprocessingShape">
                  <wps:wsp>
                    <wps:cNvSpPr txBox="1">
                      <a:spLocks noChangeArrowheads="1"/>
                    </wps:cNvSpPr>
                    <wps:spPr bwMode="auto">
                      <a:xfrm>
                        <a:off x="0" y="0"/>
                        <a:ext cx="598805" cy="224790"/>
                      </a:xfrm>
                      <a:prstGeom prst="rect">
                        <a:avLst/>
                      </a:prstGeom>
                      <a:noFill/>
                      <a:ln>
                        <a:noFill/>
                      </a:ln>
                    </wps:spPr>
                    <wps:txbx>
                      <w:txbxContent>
                        <w:p w14:paraId="03D2F2B5">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5</w:t>
                          </w:r>
                          <w:r>
                            <w:fldChar w:fldCharType="end"/>
                          </w:r>
                          <w:r>
                            <w:rPr>
                              <w:rFonts w:ascii="Times New Roman" w:hAnsi="Times New Roman"/>
                              <w:spacing w:val="1"/>
                              <w:sz w:val="28"/>
                            </w:rPr>
                            <w:t xml:space="preserve"> </w:t>
                          </w:r>
                          <w:r>
                            <w:rPr>
                              <w:rFonts w:ascii="Times New Roman" w:hAnsi="Times New Roman"/>
                              <w:sz w:val="28"/>
                            </w:rPr>
                            <w:t>—</w:t>
                          </w:r>
                        </w:p>
                      </w:txbxContent>
                    </wps:txbx>
                    <wps:bodyPr rot="0" vert="horz" wrap="square" lIns="0" tIns="0" rIns="0" bIns="0" anchor="t" anchorCtr="0" upright="1">
                      <a:noAutofit/>
                    </wps:bodyPr>
                  </wps:wsp>
                </a:graphicData>
              </a:graphic>
            </wp:anchor>
          </w:drawing>
        </mc:Choice>
        <mc:Fallback>
          <w:pict>
            <v:shape id="Text Box 7" o:spid="_x0000_s1026" o:spt="202" type="#_x0000_t202" style="position:absolute;left:0pt;margin-left:445.75pt;margin-top:779.15pt;height:17.7pt;width:47.15pt;mso-position-horizontal-relative:page;mso-position-vertical-relative:page;z-index:-251657216;mso-width-relative:page;mso-height-relative:page;" filled="f" stroked="f" coordsize="21600,21600" o:gfxdata="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G86MF2wAAAA0BAAAPAAAAAAAAAAEAIAAAACIAAABkcnMvZG93&#10;bnJldi54bWxQSwECFAAUAAAACACHTuJAZDMO9P0BAAADBAAADgAAAAAAAAABACAAAAAqAQAAZHJz&#10;L2Uyb0RvYy54bWxQSwUGAAAAAAYABgBZAQAAmQUAAAAA&#10;">
              <v:fill on="f" focussize="0,0"/>
              <v:stroke on="f"/>
              <v:imagedata o:title=""/>
              <o:lock v:ext="edit" aspectratio="f"/>
              <v:textbox inset="0mm,0mm,0mm,0mm">
                <w:txbxContent>
                  <w:p w14:paraId="03D2F2B5">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5</w:t>
                    </w:r>
                    <w:r>
                      <w:fldChar w:fldCharType="end"/>
                    </w:r>
                    <w:r>
                      <w:rPr>
                        <w:rFonts w:ascii="Times New Roman" w:hAnsi="Times New Roman"/>
                        <w:spacing w:val="1"/>
                        <w:sz w:val="28"/>
                      </w:rPr>
                      <w:t xml:space="preserve"> </w:t>
                    </w:r>
                    <w:r>
                      <w:rPr>
                        <w:rFonts w:ascii="Times New Roman" w:hAnsi="Times New Roman"/>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F683E">
    <w:pPr>
      <w:pStyle w:val="2"/>
      <w:spacing w:line="14" w:lineRule="auto"/>
      <w:rPr>
        <w:rFonts w:hint="eastAsia"/>
        <w:sz w:val="20"/>
      </w:rPr>
    </w:pPr>
    <w:r>
      <mc:AlternateContent>
        <mc:Choice Requires="wps">
          <w:drawing>
            <wp:anchor distT="0" distB="0" distL="114300" distR="114300" simplePos="0" relativeHeight="251660288" behindDoc="1" locked="0" layoutInCell="1" allowOverlap="1">
              <wp:simplePos x="0" y="0"/>
              <wp:positionH relativeFrom="page">
                <wp:posOffset>1308735</wp:posOffset>
              </wp:positionH>
              <wp:positionV relativeFrom="page">
                <wp:posOffset>9824720</wp:posOffset>
              </wp:positionV>
              <wp:extent cx="597535" cy="224790"/>
              <wp:effectExtent l="0" t="0" r="0" b="0"/>
              <wp:wrapNone/>
              <wp:docPr id="6" name="Text Box 8"/>
              <wp:cNvGraphicFramePr/>
              <a:graphic xmlns:a="http://schemas.openxmlformats.org/drawingml/2006/main">
                <a:graphicData uri="http://schemas.microsoft.com/office/word/2010/wordprocessingShape">
                  <wps:wsp>
                    <wps:cNvSpPr txBox="1">
                      <a:spLocks noChangeArrowheads="1"/>
                    </wps:cNvSpPr>
                    <wps:spPr bwMode="auto">
                      <a:xfrm>
                        <a:off x="0" y="0"/>
                        <a:ext cx="597535" cy="224790"/>
                      </a:xfrm>
                      <a:prstGeom prst="rect">
                        <a:avLst/>
                      </a:prstGeom>
                      <a:noFill/>
                      <a:ln>
                        <a:noFill/>
                      </a:ln>
                    </wps:spPr>
                    <wps:txbx>
                      <w:txbxContent>
                        <w:p w14:paraId="3736C159">
                          <w:pPr>
                            <w:spacing w:before="11"/>
                            <w:ind w:left="20"/>
                            <w:rPr>
                              <w:rFonts w:ascii="Times New Roman" w:hAnsi="Times New Roman"/>
                              <w:sz w:val="28"/>
                            </w:rPr>
                          </w:pPr>
                          <w:r>
                            <w:rPr>
                              <w:rFonts w:ascii="Times New Roman" w:hAnsi="Times New Roman"/>
                              <w:sz w:val="28"/>
                            </w:rPr>
                            <w:t>—</w:t>
                          </w:r>
                          <w:r>
                            <w:rPr>
                              <w:rFonts w:ascii="Times New Roman" w:hAnsi="Times New Roman"/>
                              <w:spacing w:val="-3"/>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6</w:t>
                          </w:r>
                          <w:r>
                            <w:fldChar w:fldCharType="end"/>
                          </w:r>
                          <w:r>
                            <w:rPr>
                              <w:rFonts w:ascii="Times New Roman" w:hAnsi="Times New Roman"/>
                              <w:spacing w:val="1"/>
                              <w:sz w:val="28"/>
                            </w:rPr>
                            <w:t xml:space="preserve"> </w:t>
                          </w:r>
                          <w:r>
                            <w:rPr>
                              <w:rFonts w:ascii="Times New Roman" w:hAnsi="Times New Roman"/>
                              <w:sz w:val="28"/>
                            </w:rPr>
                            <w:t>—</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103.05pt;margin-top:773.6pt;height:17.7pt;width:47.05pt;mso-position-horizontal-relative:page;mso-position-vertical-relative:page;z-index:-251656192;mso-width-relative:page;mso-height-relative:page;" filled="f" stroked="f" coordsize="21600,21600" o:gfxdata="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c4cS2gAAAA0BAAAPAAAAAAAAAAEAIAAAACIAAABkcnMvZG93&#10;bnJldi54bWxQSwECFAAUAAAACACHTuJAWTM3Lv4BAAADBAAADgAAAAAAAAABACAAAAApAQAAZHJz&#10;L2Uyb0RvYy54bWxQSwUGAAAAAAYABgBZAQAAmQUAAAAA&#10;">
              <v:fill on="f" focussize="0,0"/>
              <v:stroke on="f"/>
              <v:imagedata o:title=""/>
              <o:lock v:ext="edit" aspectratio="f"/>
              <v:textbox inset="0mm,0mm,0mm,0mm">
                <w:txbxContent>
                  <w:p w14:paraId="3736C159">
                    <w:pPr>
                      <w:spacing w:before="11"/>
                      <w:ind w:left="20"/>
                      <w:rPr>
                        <w:rFonts w:ascii="Times New Roman" w:hAnsi="Times New Roman"/>
                        <w:sz w:val="28"/>
                      </w:rPr>
                    </w:pPr>
                    <w:r>
                      <w:rPr>
                        <w:rFonts w:ascii="Times New Roman" w:hAnsi="Times New Roman"/>
                        <w:sz w:val="28"/>
                      </w:rPr>
                      <w:t>—</w:t>
                    </w:r>
                    <w:r>
                      <w:rPr>
                        <w:rFonts w:ascii="Times New Roman" w:hAnsi="Times New Roman"/>
                        <w:spacing w:val="-3"/>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6</w:t>
                    </w:r>
                    <w:r>
                      <w:fldChar w:fldCharType="end"/>
                    </w:r>
                    <w:r>
                      <w:rPr>
                        <w:rFonts w:ascii="Times New Roman" w:hAnsi="Times New Roman"/>
                        <w:spacing w:val="1"/>
                        <w:sz w:val="28"/>
                      </w:rPr>
                      <w:t xml:space="preserve"> </w:t>
                    </w:r>
                    <w:r>
                      <w:rPr>
                        <w:rFonts w:ascii="Times New Roman" w:hAnsi="Times New Roman"/>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C36BF">
    <w:pPr>
      <w:pStyle w:val="2"/>
      <w:spacing w:line="14" w:lineRule="auto"/>
      <w:rPr>
        <w:rFonts w:hint="eastAsia"/>
        <w:sz w:val="20"/>
      </w:rPr>
    </w:pPr>
    <w:r>
      <mc:AlternateContent>
        <mc:Choice Requires="wps">
          <w:drawing>
            <wp:anchor distT="0" distB="0" distL="114300" distR="114300" simplePos="0" relativeHeight="251661312" behindDoc="1" locked="0" layoutInCell="1" allowOverlap="1">
              <wp:simplePos x="0" y="0"/>
              <wp:positionH relativeFrom="page">
                <wp:posOffset>5661025</wp:posOffset>
              </wp:positionH>
              <wp:positionV relativeFrom="page">
                <wp:posOffset>9895205</wp:posOffset>
              </wp:positionV>
              <wp:extent cx="687070" cy="224790"/>
              <wp:effectExtent l="0" t="0" r="0" b="0"/>
              <wp:wrapNone/>
              <wp:docPr id="3" name="Text Box 5"/>
              <wp:cNvGraphicFramePr/>
              <a:graphic xmlns:a="http://schemas.openxmlformats.org/drawingml/2006/main">
                <a:graphicData uri="http://schemas.microsoft.com/office/word/2010/wordprocessingShape">
                  <wps:wsp>
                    <wps:cNvSpPr txBox="1">
                      <a:spLocks noChangeArrowheads="1"/>
                    </wps:cNvSpPr>
                    <wps:spPr bwMode="auto">
                      <a:xfrm>
                        <a:off x="0" y="0"/>
                        <a:ext cx="687070" cy="224790"/>
                      </a:xfrm>
                      <a:prstGeom prst="rect">
                        <a:avLst/>
                      </a:prstGeom>
                      <a:noFill/>
                      <a:ln>
                        <a:noFill/>
                      </a:ln>
                    </wps:spPr>
                    <wps:txbx>
                      <w:txbxContent>
                        <w:p w14:paraId="3DD5D190">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33</w:t>
                          </w:r>
                          <w:r>
                            <w:fldChar w:fldCharType="end"/>
                          </w:r>
                          <w:r>
                            <w:rPr>
                              <w:rFonts w:ascii="Times New Roman" w:hAnsi="Times New Roman"/>
                              <w:spacing w:val="-1"/>
                              <w:sz w:val="28"/>
                            </w:rPr>
                            <w:t xml:space="preserve"> </w:t>
                          </w:r>
                          <w:r>
                            <w:rPr>
                              <w:rFonts w:ascii="Times New Roman" w:hAnsi="Times New Roman"/>
                              <w:sz w:val="28"/>
                            </w:rPr>
                            <w:t>—</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445.75pt;margin-top:779.15pt;height:17.7pt;width:54.1pt;mso-position-horizontal-relative:page;mso-position-vertical-relative:page;z-index:-251655168;mso-width-relative:page;mso-height-relative:page;" filled="f" stroked="f" coordsize="21600,21600" o:gfxdata="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pRQue2wAAAA0BAAAPAAAAAAAAAAEAIAAAACIAAABkcnMvZG93&#10;bnJldi54bWxQSwECFAAUAAAACACHTuJACOLo2P0BAAADBAAADgAAAAAAAAABACAAAAAqAQAAZHJz&#10;L2Uyb0RvYy54bWxQSwUGAAAAAAYABgBZAQAAmQUAAAAA&#10;">
              <v:fill on="f" focussize="0,0"/>
              <v:stroke on="f"/>
              <v:imagedata o:title=""/>
              <o:lock v:ext="edit" aspectratio="f"/>
              <v:textbox inset="0mm,0mm,0mm,0mm">
                <w:txbxContent>
                  <w:p w14:paraId="3DD5D190">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33</w:t>
                    </w:r>
                    <w:r>
                      <w:fldChar w:fldCharType="end"/>
                    </w:r>
                    <w:r>
                      <w:rPr>
                        <w:rFonts w:ascii="Times New Roman" w:hAnsi="Times New Roman"/>
                        <w:spacing w:val="-1"/>
                        <w:sz w:val="28"/>
                      </w:rPr>
                      <w:t xml:space="preserve"> </w:t>
                    </w:r>
                    <w:r>
                      <w:rPr>
                        <w:rFonts w:ascii="Times New Roman" w:hAnsi="Times New Roman"/>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8353C">
    <w:pPr>
      <w:pStyle w:val="2"/>
      <w:spacing w:line="14" w:lineRule="auto"/>
      <w:rPr>
        <w:rFonts w:hint="eastAsia"/>
        <w:sz w:val="20"/>
      </w:rPr>
    </w:pPr>
    <w:r>
      <mc:AlternateContent>
        <mc:Choice Requires="wps">
          <w:drawing>
            <wp:anchor distT="0" distB="0" distL="114300" distR="114300" simplePos="0" relativeHeight="251662336" behindDoc="1" locked="0" layoutInCell="1" allowOverlap="1">
              <wp:simplePos x="0" y="0"/>
              <wp:positionH relativeFrom="page">
                <wp:posOffset>1308735</wp:posOffset>
              </wp:positionH>
              <wp:positionV relativeFrom="page">
                <wp:posOffset>9824720</wp:posOffset>
              </wp:positionV>
              <wp:extent cx="685800" cy="224790"/>
              <wp:effectExtent l="0" t="0" r="0" b="0"/>
              <wp:wrapNone/>
              <wp:docPr id="4" name="Text Box 6"/>
              <wp:cNvGraphicFramePr/>
              <a:graphic xmlns:a="http://schemas.openxmlformats.org/drawingml/2006/main">
                <a:graphicData uri="http://schemas.microsoft.com/office/word/2010/wordprocessingShape">
                  <wps:wsp>
                    <wps:cNvSpPr txBox="1">
                      <a:spLocks noChangeArrowheads="1"/>
                    </wps:cNvSpPr>
                    <wps:spPr bwMode="auto">
                      <a:xfrm>
                        <a:off x="0" y="0"/>
                        <a:ext cx="685800" cy="224790"/>
                      </a:xfrm>
                      <a:prstGeom prst="rect">
                        <a:avLst/>
                      </a:prstGeom>
                      <a:noFill/>
                      <a:ln>
                        <a:noFill/>
                      </a:ln>
                    </wps:spPr>
                    <wps:txbx>
                      <w:txbxContent>
                        <w:p w14:paraId="194A0420">
                          <w:pPr>
                            <w:spacing w:before="11"/>
                            <w:ind w:left="20"/>
                            <w:rPr>
                              <w:rFonts w:ascii="Times New Roman" w:hAnsi="Times New Roman"/>
                              <w:sz w:val="28"/>
                            </w:rPr>
                          </w:pPr>
                          <w:r>
                            <w:rPr>
                              <w:rFonts w:ascii="Times New Roman" w:hAnsi="Times New Roman"/>
                              <w:sz w:val="28"/>
                            </w:rPr>
                            <w:t>—</w:t>
                          </w:r>
                          <w:r>
                            <w:rPr>
                              <w:rFonts w:ascii="Times New Roman" w:hAnsi="Times New Roman"/>
                              <w:spacing w:val="-3"/>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32</w:t>
                          </w:r>
                          <w:r>
                            <w:fldChar w:fldCharType="end"/>
                          </w:r>
                          <w:r>
                            <w:rPr>
                              <w:rFonts w:ascii="Times New Roman" w:hAnsi="Times New Roman"/>
                              <w:spacing w:val="-1"/>
                              <w:sz w:val="28"/>
                            </w:rPr>
                            <w:t xml:space="preserve"> </w:t>
                          </w:r>
                          <w:r>
                            <w:rPr>
                              <w:rFonts w:ascii="Times New Roman" w:hAnsi="Times New Roman"/>
                              <w:sz w:val="28"/>
                            </w:rPr>
                            <w:t>—</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103.05pt;margin-top:773.6pt;height:17.7pt;width:54pt;mso-position-horizontal-relative:page;mso-position-vertical-relative:page;z-index:-251654144;mso-width-relative:page;mso-height-relative:page;" filled="f" stroked="f" coordsize="21600,21600" o:gfxdata="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5860jaAAAADQEAAA8AAAAAAAAAAQAgAAAAIgAAAGRycy9kb3du&#10;cmV2LnhtbFBLAQIUABQAAAAIAIdO4kCWK5CK/QEAAAMEAAAOAAAAAAAAAAEAIAAAACkBAABkcnMv&#10;ZTJvRG9jLnhtbFBLBQYAAAAABgAGAFkBAACYBQAAAAA=&#10;">
              <v:fill on="f" focussize="0,0"/>
              <v:stroke on="f"/>
              <v:imagedata o:title=""/>
              <o:lock v:ext="edit" aspectratio="f"/>
              <v:textbox inset="0mm,0mm,0mm,0mm">
                <w:txbxContent>
                  <w:p w14:paraId="194A0420">
                    <w:pPr>
                      <w:spacing w:before="11"/>
                      <w:ind w:left="20"/>
                      <w:rPr>
                        <w:rFonts w:ascii="Times New Roman" w:hAnsi="Times New Roman"/>
                        <w:sz w:val="28"/>
                      </w:rPr>
                    </w:pPr>
                    <w:r>
                      <w:rPr>
                        <w:rFonts w:ascii="Times New Roman" w:hAnsi="Times New Roman"/>
                        <w:sz w:val="28"/>
                      </w:rPr>
                      <w:t>—</w:t>
                    </w:r>
                    <w:r>
                      <w:rPr>
                        <w:rFonts w:ascii="Times New Roman" w:hAnsi="Times New Roman"/>
                        <w:spacing w:val="-3"/>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32</w:t>
                    </w:r>
                    <w:r>
                      <w:fldChar w:fldCharType="end"/>
                    </w:r>
                    <w:r>
                      <w:rPr>
                        <w:rFonts w:ascii="Times New Roman" w:hAnsi="Times New Roman"/>
                        <w:spacing w:val="-1"/>
                        <w:sz w:val="28"/>
                      </w:rPr>
                      <w:t xml:space="preserve"> </w:t>
                    </w:r>
                    <w:r>
                      <w:rPr>
                        <w:rFonts w:ascii="Times New Roman" w:hAnsi="Times New Roman"/>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9F677">
    <w:pPr>
      <w:pStyle w:val="2"/>
      <w:spacing w:line="14" w:lineRule="auto"/>
      <w:rPr>
        <w:rFonts w:hint="eastAsia"/>
        <w:sz w:val="2"/>
      </w:rPr>
    </w:pPr>
    <w:r>
      <mc:AlternateContent>
        <mc:Choice Requires="wps">
          <w:drawing>
            <wp:anchor distT="0" distB="0" distL="114300" distR="114300" simplePos="0" relativeHeight="251663360" behindDoc="1" locked="0" layoutInCell="1" allowOverlap="1">
              <wp:simplePos x="0" y="0"/>
              <wp:positionH relativeFrom="margin">
                <wp:align>right</wp:align>
              </wp:positionH>
              <wp:positionV relativeFrom="page">
                <wp:posOffset>9977755</wp:posOffset>
              </wp:positionV>
              <wp:extent cx="687070" cy="224790"/>
              <wp:effectExtent l="0" t="0" r="17780" b="3810"/>
              <wp:wrapNone/>
              <wp:docPr id="13" name="Text Box 5"/>
              <wp:cNvGraphicFramePr/>
              <a:graphic xmlns:a="http://schemas.openxmlformats.org/drawingml/2006/main">
                <a:graphicData uri="http://schemas.microsoft.com/office/word/2010/wordprocessingShape">
                  <wps:wsp>
                    <wps:cNvSpPr txBox="1">
                      <a:spLocks noChangeArrowheads="1"/>
                    </wps:cNvSpPr>
                    <wps:spPr bwMode="auto">
                      <a:xfrm>
                        <a:off x="0" y="0"/>
                        <a:ext cx="687070" cy="224790"/>
                      </a:xfrm>
                      <a:prstGeom prst="rect">
                        <a:avLst/>
                      </a:prstGeom>
                      <a:noFill/>
                      <a:ln>
                        <a:noFill/>
                      </a:ln>
                    </wps:spPr>
                    <wps:txbx>
                      <w:txbxContent>
                        <w:p w14:paraId="521F5AAF">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33</w:t>
                          </w:r>
                          <w:r>
                            <w:fldChar w:fldCharType="end"/>
                          </w:r>
                          <w:r>
                            <w:rPr>
                              <w:rFonts w:ascii="Times New Roman" w:hAnsi="Times New Roman"/>
                              <w:spacing w:val="-1"/>
                              <w:sz w:val="28"/>
                            </w:rPr>
                            <w:t xml:space="preserve"> </w:t>
                          </w:r>
                          <w:r>
                            <w:rPr>
                              <w:rFonts w:ascii="Times New Roman" w:hAnsi="Times New Roman"/>
                              <w:sz w:val="28"/>
                            </w:rPr>
                            <w:t>—</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top:785.65pt;height:17.7pt;width:54.1pt;mso-position-horizontal:right;mso-position-horizontal-relative:margin;mso-position-vertical-relative:page;z-index:-251653120;mso-width-relative:page;mso-height-relative:page;" filled="f" stroked="f" coordsize="21600,21600" o:gfxdata="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roYtkAAAAKAQAADwAAAAAAAAABACAAAAAiAAAAZHJzL2Rvd25y&#10;ZXYueG1sUEsBAhQAFAAAAAgAh07iQBd7/pH9AQAABAQAAA4AAAAAAAAAAQAgAAAAKAEAAGRycy9l&#10;Mm9Eb2MueG1sUEsFBgAAAAAGAAYAWQEAAJcFAAAAAA==&#10;">
              <v:fill on="f" focussize="0,0"/>
              <v:stroke on="f"/>
              <v:imagedata o:title=""/>
              <o:lock v:ext="edit" aspectratio="f"/>
              <v:textbox inset="0mm,0mm,0mm,0mm">
                <w:txbxContent>
                  <w:p w14:paraId="521F5AAF">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33</w:t>
                    </w:r>
                    <w:r>
                      <w:fldChar w:fldCharType="end"/>
                    </w:r>
                    <w:r>
                      <w:rPr>
                        <w:rFonts w:ascii="Times New Roman" w:hAnsi="Times New Roman"/>
                        <w:spacing w:val="-1"/>
                        <w:sz w:val="28"/>
                      </w:rPr>
                      <w:t xml:space="preserve"> </w:t>
                    </w:r>
                    <w:r>
                      <w:rPr>
                        <w:rFonts w:ascii="Times New Roman" w:hAnsi="Times New Roman"/>
                        <w:sz w:val="2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3A1FE">
    <w:pPr>
      <w:pStyle w:val="2"/>
      <w:spacing w:line="14" w:lineRule="auto"/>
      <w:rPr>
        <w:rFonts w:hint="eastAsia"/>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ABB"/>
    <w:rsid w:val="00113EA5"/>
    <w:rsid w:val="00193113"/>
    <w:rsid w:val="002316AD"/>
    <w:rsid w:val="002409ED"/>
    <w:rsid w:val="002F5479"/>
    <w:rsid w:val="00336483"/>
    <w:rsid w:val="00407642"/>
    <w:rsid w:val="0054262C"/>
    <w:rsid w:val="00565ABE"/>
    <w:rsid w:val="006768FC"/>
    <w:rsid w:val="006D10DA"/>
    <w:rsid w:val="007436C8"/>
    <w:rsid w:val="007B7781"/>
    <w:rsid w:val="0086553B"/>
    <w:rsid w:val="008C4ABB"/>
    <w:rsid w:val="008D0E09"/>
    <w:rsid w:val="009F2A9D"/>
    <w:rsid w:val="00A35561"/>
    <w:rsid w:val="00A43C59"/>
    <w:rsid w:val="00B32FDE"/>
    <w:rsid w:val="00BD4AB3"/>
    <w:rsid w:val="00D37027"/>
    <w:rsid w:val="00D37A6D"/>
    <w:rsid w:val="00E26C5B"/>
    <w:rsid w:val="00E45471"/>
    <w:rsid w:val="00E9774C"/>
    <w:rsid w:val="00EF6B30"/>
    <w:rsid w:val="00F72ED7"/>
    <w:rsid w:val="00F73BC7"/>
    <w:rsid w:val="07950162"/>
    <w:rsid w:val="08C2131C"/>
    <w:rsid w:val="0A461057"/>
    <w:rsid w:val="0AE4604C"/>
    <w:rsid w:val="0CE916F8"/>
    <w:rsid w:val="1004733D"/>
    <w:rsid w:val="13E13A8A"/>
    <w:rsid w:val="13EF4742"/>
    <w:rsid w:val="14F10094"/>
    <w:rsid w:val="15DE2FCC"/>
    <w:rsid w:val="178F3B0E"/>
    <w:rsid w:val="19A55291"/>
    <w:rsid w:val="1A6E409D"/>
    <w:rsid w:val="1ACE7DEE"/>
    <w:rsid w:val="1D4A0241"/>
    <w:rsid w:val="1DE55F0B"/>
    <w:rsid w:val="1E6C0A54"/>
    <w:rsid w:val="23D63116"/>
    <w:rsid w:val="26A57234"/>
    <w:rsid w:val="27B970E2"/>
    <w:rsid w:val="29B77727"/>
    <w:rsid w:val="2B8A0784"/>
    <w:rsid w:val="2B8B77FD"/>
    <w:rsid w:val="2FFC3ECE"/>
    <w:rsid w:val="302C7224"/>
    <w:rsid w:val="32313149"/>
    <w:rsid w:val="37577894"/>
    <w:rsid w:val="38290394"/>
    <w:rsid w:val="3BF86CB1"/>
    <w:rsid w:val="3F850EA5"/>
    <w:rsid w:val="41077087"/>
    <w:rsid w:val="43C31A60"/>
    <w:rsid w:val="4B35003F"/>
    <w:rsid w:val="4E386B6D"/>
    <w:rsid w:val="523C1DAD"/>
    <w:rsid w:val="55E00330"/>
    <w:rsid w:val="585336FE"/>
    <w:rsid w:val="5E4A2CDD"/>
    <w:rsid w:val="5F7768AC"/>
    <w:rsid w:val="634C513D"/>
    <w:rsid w:val="66F12E0D"/>
    <w:rsid w:val="696A4500"/>
    <w:rsid w:val="6B9B729F"/>
    <w:rsid w:val="6DB53DEA"/>
    <w:rsid w:val="6EA0512F"/>
    <w:rsid w:val="6F1D05CE"/>
    <w:rsid w:val="6F3F2161"/>
    <w:rsid w:val="708E3B5D"/>
    <w:rsid w:val="724C49FA"/>
    <w:rsid w:val="7475174F"/>
    <w:rsid w:val="771816DB"/>
    <w:rsid w:val="77620912"/>
    <w:rsid w:val="7A6619D4"/>
    <w:rsid w:val="7DAB5338"/>
    <w:rsid w:val="7DF62256"/>
    <w:rsid w:val="7E307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_GB2312" w:hAnsi="仿宋_GB2312" w:eastAsia="仿宋_GB2312" w:cs="仿宋_GB2312"/>
      <w:sz w:val="22"/>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footer"/>
    <w:basedOn w:val="1"/>
    <w:link w:val="18"/>
    <w:unhideWhenUsed/>
    <w:qFormat/>
    <w:uiPriority w:val="99"/>
    <w:pPr>
      <w:tabs>
        <w:tab w:val="center" w:pos="4153"/>
        <w:tab w:val="right" w:pos="8306"/>
      </w:tabs>
      <w:snapToGrid w:val="0"/>
    </w:pPr>
    <w:rPr>
      <w:sz w:val="18"/>
      <w:szCs w:val="18"/>
    </w:rPr>
  </w:style>
  <w:style w:type="paragraph" w:styleId="4">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qFormat/>
    <w:uiPriority w:val="1"/>
    <w:pPr>
      <w:spacing w:line="1521" w:lineRule="exact"/>
      <w:ind w:left="749" w:right="519"/>
      <w:jc w:val="center"/>
    </w:pPr>
    <w:rPr>
      <w:rFonts w:ascii="方正小标宋简体" w:hAnsi="方正小标宋简体" w:eastAsia="方正小标宋简体" w:cs="方正小标宋简体"/>
      <w:sz w:val="96"/>
      <w:szCs w:val="96"/>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2"/>
    <w:tblPr>
      <w:tblCellMar>
        <w:top w:w="0" w:type="dxa"/>
        <w:left w:w="0" w:type="dxa"/>
        <w:bottom w:w="0" w:type="dxa"/>
        <w:right w:w="0" w:type="dxa"/>
      </w:tblCellMar>
    </w:tblPr>
  </w:style>
  <w:style w:type="paragraph" w:customStyle="1" w:styleId="11">
    <w:name w:val="标题 11"/>
    <w:basedOn w:val="1"/>
    <w:qFormat/>
    <w:uiPriority w:val="1"/>
    <w:pPr>
      <w:ind w:left="749" w:right="751"/>
      <w:jc w:val="center"/>
      <w:outlineLvl w:val="1"/>
    </w:pPr>
    <w:rPr>
      <w:rFonts w:ascii="黑体" w:hAnsi="黑体" w:eastAsia="黑体" w:cs="黑体"/>
      <w:b/>
      <w:bCs/>
      <w:sz w:val="84"/>
      <w:szCs w:val="84"/>
    </w:rPr>
  </w:style>
  <w:style w:type="paragraph" w:customStyle="1" w:styleId="12">
    <w:name w:val="标题 21"/>
    <w:basedOn w:val="1"/>
    <w:qFormat/>
    <w:uiPriority w:val="1"/>
    <w:pPr>
      <w:spacing w:before="11"/>
      <w:ind w:left="749"/>
      <w:jc w:val="center"/>
      <w:outlineLvl w:val="2"/>
    </w:pPr>
    <w:rPr>
      <w:b/>
      <w:bCs/>
      <w:sz w:val="44"/>
      <w:szCs w:val="44"/>
    </w:rPr>
  </w:style>
  <w:style w:type="paragraph" w:customStyle="1" w:styleId="13">
    <w:name w:val="标题 31"/>
    <w:basedOn w:val="1"/>
    <w:qFormat/>
    <w:uiPriority w:val="1"/>
    <w:pPr>
      <w:spacing w:before="38"/>
      <w:ind w:right="1"/>
      <w:jc w:val="center"/>
      <w:outlineLvl w:val="3"/>
    </w:pPr>
    <w:rPr>
      <w:sz w:val="44"/>
      <w:szCs w:val="44"/>
    </w:rPr>
  </w:style>
  <w:style w:type="paragraph" w:customStyle="1" w:styleId="14">
    <w:name w:val="标题 41"/>
    <w:basedOn w:val="1"/>
    <w:qFormat/>
    <w:uiPriority w:val="1"/>
    <w:pPr>
      <w:ind w:left="749" w:right="31"/>
      <w:jc w:val="center"/>
      <w:outlineLvl w:val="4"/>
    </w:pPr>
    <w:rPr>
      <w:rFonts w:ascii="方正小标宋简体" w:hAnsi="方正小标宋简体" w:eastAsia="方正小标宋简体" w:cs="方正小标宋简体"/>
      <w:sz w:val="36"/>
      <w:szCs w:val="36"/>
    </w:rPr>
  </w:style>
  <w:style w:type="paragraph" w:styleId="15">
    <w:name w:val="List Paragraph"/>
    <w:basedOn w:val="1"/>
    <w:qFormat/>
    <w:uiPriority w:val="1"/>
    <w:pPr>
      <w:spacing w:before="149"/>
      <w:ind w:left="640" w:hanging="323"/>
    </w:pPr>
  </w:style>
  <w:style w:type="paragraph" w:customStyle="1" w:styleId="16">
    <w:name w:val="Table Paragraph"/>
    <w:basedOn w:val="1"/>
    <w:qFormat/>
    <w:uiPriority w:val="1"/>
  </w:style>
  <w:style w:type="character" w:customStyle="1" w:styleId="17">
    <w:name w:val="页眉 字符"/>
    <w:basedOn w:val="9"/>
    <w:link w:val="4"/>
    <w:qFormat/>
    <w:uiPriority w:val="99"/>
    <w:rPr>
      <w:rFonts w:ascii="仿宋_GB2312" w:hAnsi="仿宋_GB2312" w:eastAsia="仿宋_GB2312" w:cs="仿宋_GB2312"/>
      <w:sz w:val="18"/>
      <w:szCs w:val="18"/>
      <w:lang w:eastAsia="zh-CN"/>
    </w:rPr>
  </w:style>
  <w:style w:type="character" w:customStyle="1" w:styleId="18">
    <w:name w:val="页脚 字符"/>
    <w:basedOn w:val="9"/>
    <w:link w:val="3"/>
    <w:qFormat/>
    <w:uiPriority w:val="99"/>
    <w:rPr>
      <w:rFonts w:ascii="仿宋_GB2312" w:hAnsi="仿宋_GB2312" w:eastAsia="仿宋_GB2312" w:cs="仿宋_GB2312"/>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3595</Words>
  <Characters>3672</Characters>
  <Lines>57</Lines>
  <Paragraphs>16</Paragraphs>
  <TotalTime>12</TotalTime>
  <ScaleCrop>false</ScaleCrop>
  <LinksUpToDate>false</LinksUpToDate>
  <CharactersWithSpaces>3726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2025-06-25T08:28:00Z</dcterms:created>
  <dc:creator>User</dc:creator>
  <cp:lastModifiedBy>爱情是个梦而我睡过头丶</cp:lastModifiedBy>
  <cp:lastPrinted>2025-11-11T06:53:00Z</cp:lastPrinted>
  <dcterms:modified xsi:type="dcterms:W3CDTF">2026-05-06T08:11:21Z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WPS 文字</vt:lpwstr>
  </property>
  <property fmtid="{D5CDD505-2E9C-101B-9397-08002B2CF9AE}" pid="4" name="LastSaved">
    <vt:filetime>2025-01-02T00:00:00Z</vt:filetime>
  </property>
  <property fmtid="{D5CDD505-2E9C-101B-9397-08002B2CF9AE}" pid="5" name="KSOTemplateDocerSaveRecord">
    <vt:lpwstr>eyJoZGlkIjoiZmI2OGEzZmNjZDIxNzYzY2FmYjRlMTAzNDU2MTg4ODAiLCJ1c2VySWQiOiIyNjc1MzM1MzkifQ==</vt:lpwstr>
  </property>
  <property fmtid="{D5CDD505-2E9C-101B-9397-08002B2CF9AE}" pid="6" name="KSOProductBuildVer">
    <vt:lpwstr>2052-12.1.0.25865</vt:lpwstr>
  </property>
  <property fmtid="{D5CDD505-2E9C-101B-9397-08002B2CF9AE}" pid="7" name="ICV">
    <vt:lpwstr>35487F0FCCF94ECEA9FB19D6D4817EFB_13</vt:lpwstr>
  </property>
</Properties>
</file>