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399F4">
      <w:pPr>
        <w:spacing w:before="480" w:after="480" w:line="360" w:lineRule="auto"/>
        <w:jc w:val="left"/>
        <w:rPr>
          <w:rFonts w:ascii="宋体" w:hAnsi="宋体" w:eastAsia="宋体" w:cs="宋体"/>
        </w:rPr>
      </w:pPr>
      <w:r>
        <w:rPr>
          <w:rFonts w:hint="eastAsia" w:ascii="宋体" w:hAnsi="宋体" w:eastAsia="宋体" w:cs="宋体"/>
          <w:b/>
          <w:sz w:val="52"/>
        </w:rPr>
        <w:t>宁德职业技术学院新能源汽车电工电子实训室升级项目采购方案征集需求</w:t>
      </w:r>
    </w:p>
    <w:p w14:paraId="7A550E98">
      <w:pPr>
        <w:spacing w:before="380" w:after="140" w:line="360" w:lineRule="auto"/>
        <w:jc w:val="left"/>
        <w:outlineLvl w:val="0"/>
        <w:rPr>
          <w:rFonts w:ascii="宋体" w:hAnsi="宋体" w:eastAsia="宋体" w:cs="宋体"/>
        </w:rPr>
      </w:pPr>
      <w:bookmarkStart w:id="0" w:name="heading_0"/>
      <w:r>
        <w:rPr>
          <w:rFonts w:hint="eastAsia" w:ascii="宋体" w:hAnsi="宋体" w:eastAsia="宋体" w:cs="宋体"/>
          <w:b/>
          <w:sz w:val="36"/>
        </w:rPr>
        <w:t>一、项目背景</w:t>
      </w:r>
      <w:bookmarkEnd w:id="0"/>
    </w:p>
    <w:p w14:paraId="62BE8DCC">
      <w:pPr>
        <w:spacing w:before="120" w:after="120" w:line="360" w:lineRule="auto"/>
        <w:ind w:firstLine="440" w:firstLineChars="200"/>
        <w:jc w:val="left"/>
        <w:rPr>
          <w:rFonts w:ascii="宋体" w:hAnsi="宋体" w:eastAsia="宋体" w:cs="宋体"/>
        </w:rPr>
      </w:pPr>
      <w:r>
        <w:rPr>
          <w:rFonts w:hint="eastAsia" w:ascii="宋体" w:hAnsi="宋体" w:eastAsia="宋体" w:cs="宋体"/>
          <w:sz w:val="22"/>
        </w:rPr>
        <w:t>为落实教育部、财政部中国特色高水平高职学校和专业建设计划（"双高计划"）建设要求，紧扣宁德区域新能源汽车产业发展布局，补齐我院新能源与智能制造学院新能源汽车技术专业群汽车电力电子实训设备短板，满足汽车电力电子新课标的教学需求，夯实学生技术技能基础，提升专业群办学水平与人才培养质量，拟实施新能源汽车电工电子实训室升级项目。</w:t>
      </w:r>
    </w:p>
    <w:p w14:paraId="6861EE8B">
      <w:pPr>
        <w:spacing w:before="120" w:after="120" w:line="360" w:lineRule="auto"/>
        <w:ind w:firstLine="440" w:firstLineChars="200"/>
        <w:jc w:val="left"/>
        <w:rPr>
          <w:rFonts w:ascii="宋体" w:hAnsi="宋体" w:eastAsia="宋体" w:cs="宋体"/>
        </w:rPr>
      </w:pPr>
      <w:r>
        <w:rPr>
          <w:rFonts w:hint="eastAsia" w:ascii="宋体" w:hAnsi="宋体" w:eastAsia="宋体" w:cs="宋体"/>
          <w:sz w:val="22"/>
        </w:rPr>
        <w:t>该项目是涵盖</w:t>
      </w:r>
      <w:r>
        <w:rPr>
          <w:rFonts w:hint="eastAsia" w:ascii="宋体" w:hAnsi="宋体" w:eastAsia="宋体" w:cs="宋体"/>
          <w:sz w:val="22"/>
          <w:lang w:val="en-US" w:eastAsia="zh-CN"/>
        </w:rPr>
        <w:t>汽车</w:t>
      </w:r>
      <w:r>
        <w:rPr>
          <w:rFonts w:hint="eastAsia" w:ascii="宋体" w:hAnsi="宋体" w:eastAsia="宋体" w:cs="宋体"/>
          <w:sz w:val="22"/>
        </w:rPr>
        <w:t>电力电子技术实训、汽车传感器实训、电机控制实训等多功能综合性实训基地建设，适合作为新能源汽车电控技术赋能与新能源产业高技能人才培养双重要求。</w:t>
      </w:r>
    </w:p>
    <w:p w14:paraId="609BD3B9">
      <w:pPr>
        <w:spacing w:before="380" w:after="140" w:line="360" w:lineRule="auto"/>
        <w:jc w:val="left"/>
        <w:outlineLvl w:val="0"/>
        <w:rPr>
          <w:rFonts w:ascii="宋体" w:hAnsi="宋体" w:eastAsia="宋体" w:cs="宋体"/>
        </w:rPr>
      </w:pPr>
      <w:bookmarkStart w:id="1" w:name="heading_1"/>
      <w:r>
        <w:rPr>
          <w:rFonts w:hint="eastAsia" w:ascii="宋体" w:hAnsi="宋体" w:eastAsia="宋体" w:cs="宋体"/>
          <w:b/>
          <w:sz w:val="36"/>
        </w:rPr>
        <w:t>二、建设目标</w:t>
      </w:r>
      <w:bookmarkEnd w:id="1"/>
    </w:p>
    <w:p w14:paraId="39DB9C4C">
      <w:pPr>
        <w:spacing w:before="320" w:after="120" w:line="360" w:lineRule="auto"/>
        <w:jc w:val="left"/>
        <w:outlineLvl w:val="1"/>
        <w:rPr>
          <w:rFonts w:ascii="宋体" w:hAnsi="宋体" w:eastAsia="宋体" w:cs="宋体"/>
        </w:rPr>
      </w:pPr>
      <w:bookmarkStart w:id="2" w:name="heading_2"/>
      <w:r>
        <w:rPr>
          <w:rFonts w:hint="eastAsia" w:ascii="宋体" w:hAnsi="宋体" w:eastAsia="宋体" w:cs="宋体"/>
          <w:b/>
          <w:sz w:val="32"/>
        </w:rPr>
        <w:t>1. 核心能力培养</w:t>
      </w:r>
      <w:bookmarkEnd w:id="2"/>
    </w:p>
    <w:p w14:paraId="3FC94601">
      <w:pPr>
        <w:spacing w:before="120" w:after="120" w:line="360" w:lineRule="auto"/>
        <w:ind w:firstLine="440" w:firstLineChars="200"/>
        <w:jc w:val="left"/>
        <w:rPr>
          <w:rFonts w:ascii="宋体" w:hAnsi="宋体" w:eastAsia="宋体" w:cs="宋体"/>
        </w:rPr>
      </w:pPr>
      <w:r>
        <w:rPr>
          <w:rFonts w:hint="eastAsia" w:ascii="宋体" w:hAnsi="宋体" w:eastAsia="宋体" w:cs="宋体"/>
          <w:sz w:val="22"/>
        </w:rPr>
        <w:t>使学员掌握电力电子技术、汽车传感器技术、电机驱动控制等核心技能，适配新能源汽车电控岗位需求，夯实专业基础能力。</w:t>
      </w:r>
    </w:p>
    <w:p w14:paraId="10EE766E">
      <w:pPr>
        <w:spacing w:before="320" w:after="120" w:line="360" w:lineRule="auto"/>
        <w:jc w:val="left"/>
        <w:outlineLvl w:val="1"/>
        <w:rPr>
          <w:rFonts w:ascii="宋体" w:hAnsi="宋体" w:eastAsia="宋体" w:cs="宋体"/>
        </w:rPr>
      </w:pPr>
      <w:bookmarkStart w:id="3" w:name="heading_3"/>
      <w:r>
        <w:rPr>
          <w:rFonts w:hint="eastAsia" w:ascii="宋体" w:hAnsi="宋体" w:eastAsia="宋体" w:cs="宋体"/>
          <w:b/>
          <w:sz w:val="32"/>
        </w:rPr>
        <w:t>2. 实践与创新赋能</w:t>
      </w:r>
      <w:bookmarkEnd w:id="3"/>
    </w:p>
    <w:p w14:paraId="2B5391EE">
      <w:pPr>
        <w:spacing w:before="120" w:after="120" w:line="360" w:lineRule="auto"/>
        <w:ind w:firstLine="440" w:firstLineChars="200"/>
        <w:jc w:val="left"/>
        <w:rPr>
          <w:rFonts w:ascii="宋体" w:hAnsi="宋体" w:eastAsia="宋体" w:cs="宋体"/>
        </w:rPr>
      </w:pPr>
      <w:r>
        <w:rPr>
          <w:rFonts w:hint="eastAsia" w:ascii="宋体" w:hAnsi="宋体" w:eastAsia="宋体" w:cs="宋体"/>
          <w:sz w:val="22"/>
        </w:rPr>
        <w:t>提供新能源汽车电力电子技术</w:t>
      </w:r>
      <w:r>
        <w:rPr>
          <w:rFonts w:hint="eastAsia" w:ascii="宋体" w:hAnsi="宋体" w:eastAsia="宋体" w:cs="宋体"/>
          <w:sz w:val="22"/>
          <w:lang w:val="en-US" w:eastAsia="zh-CN"/>
        </w:rPr>
        <w:t>实训</w:t>
      </w:r>
      <w:r>
        <w:rPr>
          <w:rFonts w:hint="eastAsia" w:ascii="宋体" w:hAnsi="宋体" w:eastAsia="宋体" w:cs="宋体"/>
          <w:sz w:val="22"/>
        </w:rPr>
        <w:t>平台、新能源汽车电力电子技术</w:t>
      </w:r>
      <w:r>
        <w:rPr>
          <w:rFonts w:hint="eastAsia" w:ascii="宋体" w:hAnsi="宋体" w:eastAsia="宋体" w:cs="宋体"/>
          <w:sz w:val="22"/>
          <w:lang w:val="en-US" w:eastAsia="zh-CN"/>
        </w:rPr>
        <w:t>实验</w:t>
      </w:r>
      <w:r>
        <w:rPr>
          <w:rFonts w:hint="eastAsia" w:ascii="宋体" w:hAnsi="宋体" w:eastAsia="宋体" w:cs="宋体"/>
          <w:sz w:val="22"/>
        </w:rPr>
        <w:t>平台、多功能移动</w:t>
      </w:r>
      <w:r>
        <w:rPr>
          <w:rFonts w:hint="eastAsia" w:ascii="宋体" w:hAnsi="宋体" w:eastAsia="宋体" w:cs="宋体"/>
          <w:sz w:val="22"/>
          <w:lang w:val="en-US" w:eastAsia="zh-CN"/>
        </w:rPr>
        <w:t>工作站</w:t>
      </w:r>
      <w:r>
        <w:rPr>
          <w:rFonts w:hint="eastAsia" w:ascii="宋体" w:hAnsi="宋体" w:eastAsia="宋体" w:cs="宋体"/>
          <w:sz w:val="22"/>
        </w:rPr>
        <w:t>等设备，支持学员开展IGBT特性测试、直流斩波电路、变频器调速、车用传感器检测等实操训练，培养动手能力与问题解决能力。</w:t>
      </w:r>
      <w:bookmarkStart w:id="7" w:name="_GoBack"/>
      <w:bookmarkEnd w:id="7"/>
    </w:p>
    <w:p w14:paraId="6663957E">
      <w:pPr>
        <w:spacing w:before="120" w:after="120" w:line="360" w:lineRule="auto"/>
        <w:ind w:firstLine="440" w:firstLineChars="200"/>
        <w:jc w:val="left"/>
        <w:rPr>
          <w:rFonts w:ascii="宋体" w:hAnsi="宋体" w:eastAsia="宋体" w:cs="宋体"/>
        </w:rPr>
      </w:pPr>
      <w:r>
        <w:rPr>
          <w:rFonts w:hint="eastAsia" w:ascii="宋体" w:hAnsi="宋体" w:eastAsia="宋体" w:cs="宋体"/>
          <w:sz w:val="22"/>
        </w:rPr>
        <w:t>同时，依托基地可开展新能源领域创新创业项目孵化，如电力电子技术创新优化方案设计等，激发学员创新思维。</w:t>
      </w:r>
    </w:p>
    <w:p w14:paraId="45707619">
      <w:pPr>
        <w:spacing w:before="320" w:after="120" w:line="360" w:lineRule="auto"/>
        <w:jc w:val="left"/>
        <w:outlineLvl w:val="1"/>
        <w:rPr>
          <w:rFonts w:ascii="宋体" w:hAnsi="宋体" w:eastAsia="宋体" w:cs="宋体"/>
        </w:rPr>
      </w:pPr>
      <w:bookmarkStart w:id="4" w:name="heading_4"/>
      <w:r>
        <w:rPr>
          <w:rFonts w:hint="eastAsia" w:ascii="宋体" w:hAnsi="宋体" w:eastAsia="宋体" w:cs="宋体"/>
          <w:b/>
          <w:sz w:val="32"/>
        </w:rPr>
        <w:t>3. 专业建设支撑</w:t>
      </w:r>
      <w:bookmarkEnd w:id="4"/>
    </w:p>
    <w:p w14:paraId="7520CA7A">
      <w:pPr>
        <w:spacing w:before="120" w:after="120" w:line="360" w:lineRule="auto"/>
        <w:ind w:firstLine="440" w:firstLineChars="200"/>
        <w:jc w:val="left"/>
        <w:rPr>
          <w:rFonts w:ascii="宋体" w:hAnsi="宋体" w:eastAsia="宋体" w:cs="宋体"/>
        </w:rPr>
      </w:pPr>
      <w:r>
        <w:rPr>
          <w:rFonts w:hint="eastAsia" w:ascii="宋体" w:hAnsi="宋体" w:eastAsia="宋体" w:cs="宋体"/>
          <w:sz w:val="22"/>
        </w:rPr>
        <w:t>完善专业实训教学体系，实现专业基础课、核心课实训项目100%覆盖，满足理实一体化教学需求，支撑新能源汽车技术高水平专业群建设，为学校参加全国职业院校技能大赛</w:t>
      </w:r>
      <w:r>
        <w:rPr>
          <w:rFonts w:hint="eastAsia" w:ascii="MS Gothic" w:hAnsi="MS Gothic" w:eastAsia="MS Gothic" w:cs="MS Gothic"/>
          <w:sz w:val="22"/>
        </w:rPr>
        <w:t>‌</w:t>
      </w:r>
      <w:r>
        <w:rPr>
          <w:rFonts w:hint="eastAsia" w:ascii="宋体" w:hAnsi="宋体" w:eastAsia="宋体" w:cs="宋体"/>
          <w:sz w:val="22"/>
        </w:rPr>
        <w:t>（高职组省赛</w:t>
      </w:r>
      <w:r>
        <w:rPr>
          <w:rFonts w:ascii="宋体" w:hAnsi="宋体" w:eastAsia="宋体" w:cs="宋体"/>
          <w:sz w:val="22"/>
        </w:rPr>
        <w:t>）</w:t>
      </w:r>
      <w:r>
        <w:rPr>
          <w:rFonts w:hint="eastAsia" w:ascii="宋体" w:hAnsi="宋体" w:eastAsia="宋体" w:cs="宋体"/>
          <w:sz w:val="22"/>
        </w:rPr>
        <w:t>汽车相关赛道提供硬件支持，并对实训场地进行文化设计。</w:t>
      </w:r>
    </w:p>
    <w:p w14:paraId="05C3D5DD">
      <w:pPr>
        <w:spacing w:before="380" w:after="140" w:line="360" w:lineRule="auto"/>
        <w:jc w:val="left"/>
        <w:outlineLvl w:val="0"/>
        <w:rPr>
          <w:rFonts w:ascii="宋体" w:hAnsi="宋体" w:eastAsia="宋体" w:cs="宋体"/>
        </w:rPr>
      </w:pPr>
      <w:bookmarkStart w:id="5" w:name="heading_5"/>
      <w:r>
        <w:rPr>
          <w:rFonts w:hint="eastAsia" w:ascii="宋体" w:hAnsi="宋体" w:eastAsia="宋体" w:cs="宋体"/>
          <w:b/>
          <w:sz w:val="36"/>
        </w:rPr>
        <w:t>三、项目预算</w:t>
      </w:r>
      <w:bookmarkEnd w:id="5"/>
    </w:p>
    <w:p w14:paraId="2BE9FF30">
      <w:pPr>
        <w:spacing w:before="120" w:after="120" w:line="360" w:lineRule="auto"/>
        <w:ind w:firstLine="440" w:firstLineChars="200"/>
        <w:jc w:val="left"/>
        <w:rPr>
          <w:rFonts w:ascii="宋体" w:hAnsi="宋体" w:eastAsia="宋体" w:cs="宋体"/>
        </w:rPr>
      </w:pPr>
      <w:r>
        <w:rPr>
          <w:rFonts w:hint="eastAsia" w:ascii="宋体" w:hAnsi="宋体" w:eastAsia="宋体" w:cs="宋体"/>
          <w:sz w:val="22"/>
        </w:rPr>
        <w:t>项目总预算：</w:t>
      </w:r>
      <w:r>
        <w:rPr>
          <w:rFonts w:hint="eastAsia" w:ascii="宋体" w:hAnsi="宋体" w:eastAsia="宋体" w:cs="宋体"/>
          <w:b/>
          <w:sz w:val="22"/>
        </w:rPr>
        <w:t>60万元</w:t>
      </w:r>
      <w:r>
        <w:rPr>
          <w:rFonts w:hint="eastAsia" w:ascii="宋体" w:hAnsi="宋体" w:eastAsia="宋体" w:cs="宋体"/>
          <w:sz w:val="22"/>
        </w:rPr>
        <w:t>（含税含安装）</w:t>
      </w:r>
    </w:p>
    <w:p w14:paraId="56CE05AD">
      <w:pPr>
        <w:spacing w:before="380" w:after="140" w:line="360" w:lineRule="auto"/>
        <w:jc w:val="left"/>
        <w:outlineLvl w:val="0"/>
        <w:rPr>
          <w:rFonts w:ascii="宋体" w:hAnsi="宋体" w:eastAsia="宋体" w:cs="宋体"/>
        </w:rPr>
      </w:pPr>
      <w:bookmarkStart w:id="6" w:name="heading_6"/>
      <w:r>
        <w:rPr>
          <w:rFonts w:hint="eastAsia" w:ascii="宋体" w:hAnsi="宋体" w:eastAsia="宋体" w:cs="宋体"/>
          <w:b/>
          <w:sz w:val="36"/>
        </w:rPr>
        <w:t>四、建设内容、功能及需求</w:t>
      </w:r>
      <w:bookmarkEnd w:id="6"/>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130"/>
        <w:gridCol w:w="705"/>
        <w:gridCol w:w="1185"/>
        <w:gridCol w:w="4260"/>
      </w:tblGrid>
      <w:tr w14:paraId="4863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30" w:type="dxa"/>
            <w:tcMar>
              <w:top w:w="60" w:type="dxa"/>
              <w:left w:w="120" w:type="dxa"/>
              <w:bottom w:w="30" w:type="dxa"/>
              <w:right w:w="120" w:type="dxa"/>
            </w:tcMar>
          </w:tcPr>
          <w:p w14:paraId="4AF0CDBD">
            <w:pPr>
              <w:spacing w:before="120" w:after="120" w:line="360" w:lineRule="auto"/>
              <w:jc w:val="left"/>
              <w:rPr>
                <w:rFonts w:ascii="宋体" w:hAnsi="宋体" w:eastAsia="宋体" w:cs="宋体"/>
              </w:rPr>
            </w:pPr>
            <w:r>
              <w:rPr>
                <w:rFonts w:hint="eastAsia" w:ascii="宋体" w:hAnsi="宋体" w:eastAsia="宋体" w:cs="宋体"/>
                <w:sz w:val="22"/>
              </w:rPr>
              <w:t>项目名称</w:t>
            </w:r>
          </w:p>
        </w:tc>
        <w:tc>
          <w:tcPr>
            <w:tcW w:w="705" w:type="dxa"/>
            <w:tcMar>
              <w:top w:w="60" w:type="dxa"/>
              <w:left w:w="120" w:type="dxa"/>
              <w:bottom w:w="30" w:type="dxa"/>
              <w:right w:w="120" w:type="dxa"/>
            </w:tcMar>
          </w:tcPr>
          <w:p w14:paraId="3B26091B">
            <w:pPr>
              <w:spacing w:before="120" w:after="120" w:line="360" w:lineRule="auto"/>
              <w:jc w:val="left"/>
              <w:rPr>
                <w:rFonts w:ascii="宋体" w:hAnsi="宋体" w:eastAsia="宋体" w:cs="宋体"/>
              </w:rPr>
            </w:pPr>
            <w:r>
              <w:rPr>
                <w:rFonts w:hint="eastAsia" w:ascii="宋体" w:hAnsi="宋体" w:eastAsia="宋体" w:cs="宋体"/>
                <w:sz w:val="22"/>
              </w:rPr>
              <w:t>数量</w:t>
            </w:r>
          </w:p>
        </w:tc>
        <w:tc>
          <w:tcPr>
            <w:tcW w:w="1185" w:type="dxa"/>
            <w:tcMar>
              <w:top w:w="60" w:type="dxa"/>
              <w:left w:w="120" w:type="dxa"/>
              <w:bottom w:w="30" w:type="dxa"/>
              <w:right w:w="120" w:type="dxa"/>
            </w:tcMar>
          </w:tcPr>
          <w:p w14:paraId="3CDD31F0">
            <w:pPr>
              <w:spacing w:before="120" w:after="120" w:line="360" w:lineRule="auto"/>
              <w:jc w:val="left"/>
              <w:rPr>
                <w:rFonts w:ascii="宋体" w:hAnsi="宋体" w:eastAsia="宋体" w:cs="宋体"/>
              </w:rPr>
            </w:pPr>
            <w:r>
              <w:rPr>
                <w:rFonts w:hint="eastAsia" w:ascii="宋体" w:hAnsi="宋体" w:eastAsia="宋体" w:cs="宋体"/>
                <w:sz w:val="22"/>
              </w:rPr>
              <w:t>预算/元（含税含安装）</w:t>
            </w:r>
          </w:p>
        </w:tc>
        <w:tc>
          <w:tcPr>
            <w:tcW w:w="4260" w:type="dxa"/>
            <w:tcMar>
              <w:top w:w="60" w:type="dxa"/>
              <w:left w:w="120" w:type="dxa"/>
              <w:bottom w:w="30" w:type="dxa"/>
              <w:right w:w="120" w:type="dxa"/>
            </w:tcMar>
          </w:tcPr>
          <w:p w14:paraId="335EEE3B">
            <w:pPr>
              <w:spacing w:before="120" w:after="120" w:line="360" w:lineRule="auto"/>
              <w:jc w:val="center"/>
              <w:rPr>
                <w:rFonts w:ascii="宋体" w:hAnsi="宋体" w:eastAsia="宋体" w:cs="宋体"/>
              </w:rPr>
            </w:pPr>
            <w:r>
              <w:rPr>
                <w:rFonts w:hint="eastAsia" w:ascii="宋体" w:hAnsi="宋体" w:eastAsia="宋体" w:cs="宋体"/>
                <w:sz w:val="22"/>
              </w:rPr>
              <w:t>规格要求</w:t>
            </w:r>
          </w:p>
        </w:tc>
      </w:tr>
      <w:tr w14:paraId="29F9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30" w:type="dxa"/>
            <w:tcMar>
              <w:top w:w="60" w:type="dxa"/>
              <w:left w:w="120" w:type="dxa"/>
              <w:bottom w:w="30" w:type="dxa"/>
              <w:right w:w="120" w:type="dxa"/>
            </w:tcMar>
          </w:tcPr>
          <w:p w14:paraId="14A8A895">
            <w:pPr>
              <w:spacing w:before="120" w:after="120" w:line="360" w:lineRule="auto"/>
              <w:jc w:val="left"/>
              <w:rPr>
                <w:rFonts w:ascii="宋体" w:hAnsi="宋体" w:eastAsia="宋体" w:cs="宋体"/>
              </w:rPr>
            </w:pPr>
            <w:r>
              <w:rPr>
                <w:rFonts w:hint="eastAsia" w:ascii="宋体" w:hAnsi="宋体" w:eastAsia="宋体" w:cs="宋体"/>
                <w:sz w:val="22"/>
              </w:rPr>
              <w:t>新能源汽车电工电子实训室升级</w:t>
            </w:r>
          </w:p>
        </w:tc>
        <w:tc>
          <w:tcPr>
            <w:tcW w:w="705" w:type="dxa"/>
            <w:tcMar>
              <w:top w:w="60" w:type="dxa"/>
              <w:left w:w="120" w:type="dxa"/>
              <w:bottom w:w="30" w:type="dxa"/>
              <w:right w:w="120" w:type="dxa"/>
            </w:tcMar>
          </w:tcPr>
          <w:p w14:paraId="232C3A00">
            <w:pPr>
              <w:spacing w:before="120" w:after="120" w:line="360" w:lineRule="auto"/>
              <w:jc w:val="left"/>
              <w:rPr>
                <w:rFonts w:ascii="宋体" w:hAnsi="宋体" w:eastAsia="宋体" w:cs="宋体"/>
              </w:rPr>
            </w:pPr>
            <w:r>
              <w:rPr>
                <w:rFonts w:hint="eastAsia" w:ascii="宋体" w:hAnsi="宋体" w:eastAsia="宋体" w:cs="宋体"/>
                <w:sz w:val="22"/>
              </w:rPr>
              <w:t>1批</w:t>
            </w:r>
          </w:p>
        </w:tc>
        <w:tc>
          <w:tcPr>
            <w:tcW w:w="1185" w:type="dxa"/>
            <w:tcMar>
              <w:top w:w="60" w:type="dxa"/>
              <w:left w:w="120" w:type="dxa"/>
              <w:bottom w:w="30" w:type="dxa"/>
              <w:right w:w="120" w:type="dxa"/>
            </w:tcMar>
          </w:tcPr>
          <w:p w14:paraId="2B2A2F57">
            <w:pPr>
              <w:spacing w:before="120" w:after="120" w:line="360" w:lineRule="auto"/>
              <w:jc w:val="left"/>
              <w:rPr>
                <w:rFonts w:ascii="宋体" w:hAnsi="宋体" w:eastAsia="宋体" w:cs="宋体"/>
              </w:rPr>
            </w:pPr>
            <w:r>
              <w:rPr>
                <w:rFonts w:hint="eastAsia" w:ascii="宋体" w:hAnsi="宋体" w:eastAsia="宋体" w:cs="宋体"/>
                <w:sz w:val="22"/>
              </w:rPr>
              <w:t>600000</w:t>
            </w:r>
          </w:p>
        </w:tc>
        <w:tc>
          <w:tcPr>
            <w:tcW w:w="4260" w:type="dxa"/>
            <w:tcMar>
              <w:top w:w="60" w:type="dxa"/>
              <w:left w:w="120" w:type="dxa"/>
              <w:bottom w:w="30" w:type="dxa"/>
              <w:right w:w="120" w:type="dxa"/>
            </w:tcMar>
          </w:tcPr>
          <w:p w14:paraId="3A998521">
            <w:pPr>
              <w:spacing w:before="120" w:after="120" w:line="360" w:lineRule="auto"/>
              <w:jc w:val="left"/>
              <w:rPr>
                <w:rFonts w:ascii="宋体" w:hAnsi="宋体" w:eastAsia="宋体" w:cs="宋体"/>
                <w:sz w:val="22"/>
              </w:rPr>
            </w:pPr>
            <w:r>
              <w:rPr>
                <w:rFonts w:hint="eastAsia" w:ascii="宋体" w:hAnsi="宋体" w:eastAsia="宋体" w:cs="宋体"/>
                <w:sz w:val="22"/>
              </w:rPr>
              <w:t>总体要求：</w:t>
            </w:r>
          </w:p>
          <w:p w14:paraId="246878C9">
            <w:pPr>
              <w:spacing w:before="120" w:after="120" w:line="360" w:lineRule="auto"/>
              <w:jc w:val="left"/>
              <w:rPr>
                <w:rFonts w:ascii="宋体" w:hAnsi="宋体" w:eastAsia="宋体" w:cs="宋体"/>
              </w:rPr>
            </w:pPr>
            <w:r>
              <w:rPr>
                <w:rFonts w:hint="eastAsia" w:ascii="宋体" w:hAnsi="宋体" w:eastAsia="宋体" w:cs="宋体"/>
                <w:sz w:val="22"/>
              </w:rPr>
              <w:t>1.严格对标高水平专业群实训基地建设标准，贴合"双高计划"人才培养、产教融合、技术服务核心建设任务。</w:t>
            </w:r>
          </w:p>
          <w:p w14:paraId="7D673B02">
            <w:pPr>
              <w:spacing w:before="120" w:after="120" w:line="360" w:lineRule="auto"/>
              <w:jc w:val="left"/>
              <w:rPr>
                <w:rFonts w:ascii="宋体" w:hAnsi="宋体" w:eastAsia="宋体" w:cs="宋体"/>
              </w:rPr>
            </w:pPr>
            <w:r>
              <w:rPr>
                <w:rFonts w:hint="eastAsia" w:ascii="宋体" w:hAnsi="宋体" w:eastAsia="宋体" w:cs="宋体"/>
                <w:sz w:val="22"/>
              </w:rPr>
              <w:t>2.设备贴合新能源汽车行业主流技术，同时覆盖专业基础、核心技能、综合创新全层训</w:t>
            </w:r>
            <w:r>
              <w:rPr>
                <w:rFonts w:hint="eastAsia" w:ascii="宋体" w:hAnsi="宋体" w:eastAsia="宋体" w:cs="宋体"/>
                <w:sz w:val="22"/>
                <w:lang w:eastAsia="zh-CN"/>
              </w:rPr>
              <w:t>，</w:t>
            </w:r>
            <w:r>
              <w:rPr>
                <w:rFonts w:hint="eastAsia" w:ascii="宋体" w:hAnsi="宋体" w:eastAsia="宋体" w:cs="宋体"/>
                <w:sz w:val="22"/>
                <w:lang w:val="en-US" w:eastAsia="zh-CN"/>
              </w:rPr>
              <w:t>移动录课等</w:t>
            </w:r>
            <w:r>
              <w:rPr>
                <w:rFonts w:hint="eastAsia" w:ascii="宋体" w:hAnsi="宋体" w:eastAsia="宋体" w:cs="宋体"/>
                <w:sz w:val="22"/>
              </w:rPr>
              <w:t>需求，兼顾日常教学、技能竞赛、科研创新多重场景。</w:t>
            </w:r>
          </w:p>
          <w:p w14:paraId="7985991D">
            <w:pPr>
              <w:spacing w:before="120" w:after="120" w:line="360" w:lineRule="auto"/>
              <w:jc w:val="left"/>
              <w:rPr>
                <w:rFonts w:ascii="宋体" w:hAnsi="宋体" w:eastAsia="宋体" w:cs="宋体"/>
              </w:rPr>
            </w:pPr>
            <w:r>
              <w:rPr>
                <w:rFonts w:hint="eastAsia" w:ascii="宋体" w:hAnsi="宋体" w:eastAsia="宋体" w:cs="宋体"/>
                <w:sz w:val="22"/>
              </w:rPr>
              <w:t>3.所有设备符合国家职业院校实训安全标准，具备完善的漏电、过载、过流、短路保护机制，保障实训教学安全。</w:t>
            </w:r>
          </w:p>
          <w:p w14:paraId="775F5670">
            <w:pPr>
              <w:spacing w:before="120" w:after="120" w:line="360" w:lineRule="auto"/>
              <w:jc w:val="left"/>
              <w:rPr>
                <w:rFonts w:ascii="宋体" w:hAnsi="宋体" w:eastAsia="宋体" w:cs="宋体"/>
              </w:rPr>
            </w:pPr>
            <w:r>
              <w:rPr>
                <w:rFonts w:hint="eastAsia" w:ascii="宋体" w:hAnsi="宋体" w:eastAsia="宋体" w:cs="宋体"/>
                <w:sz w:val="22"/>
              </w:rPr>
              <w:t>4.采用模块化设计，支持后续功能升级与专业群拓展，适配产教融合、校企合作项目落地。</w:t>
            </w:r>
          </w:p>
          <w:p w14:paraId="05C62B4E">
            <w:pPr>
              <w:spacing w:before="120" w:after="120" w:line="360" w:lineRule="auto"/>
              <w:jc w:val="left"/>
              <w:rPr>
                <w:rFonts w:hint="eastAsia" w:ascii="宋体" w:hAnsi="宋体" w:eastAsia="宋体" w:cs="宋体"/>
                <w:sz w:val="22"/>
                <w:lang w:eastAsia="zh-CN"/>
              </w:rPr>
            </w:pPr>
            <w:r>
              <w:rPr>
                <w:rFonts w:hint="eastAsia" w:ascii="宋体" w:hAnsi="宋体" w:eastAsia="宋体" w:cs="宋体"/>
                <w:sz w:val="22"/>
              </w:rPr>
              <w:t>5.本</w:t>
            </w:r>
            <w:r>
              <w:rPr>
                <w:rFonts w:hint="eastAsia" w:ascii="宋体" w:hAnsi="宋体" w:eastAsia="宋体" w:cs="宋体"/>
                <w:sz w:val="22"/>
                <w:lang w:val="en-US" w:eastAsia="zh-CN"/>
              </w:rPr>
              <w:t>次采购</w:t>
            </w:r>
            <w:r>
              <w:rPr>
                <w:rFonts w:hint="eastAsia" w:ascii="宋体" w:hAnsi="宋体" w:eastAsia="宋体" w:cs="宋体"/>
                <w:sz w:val="22"/>
              </w:rPr>
              <w:t>设备为新能源汽车技术专业核心技能实训主力设备，完全适配《汽车电工电子与电路基础》《新能源汽车驱动电机控制技术》等专业课程教学需求</w:t>
            </w:r>
            <w:r>
              <w:rPr>
                <w:rFonts w:hint="eastAsia" w:ascii="宋体" w:hAnsi="宋体" w:eastAsia="宋体" w:cs="宋体"/>
                <w:sz w:val="22"/>
                <w:lang w:eastAsia="zh-CN"/>
              </w:rPr>
              <w:t>，</w:t>
            </w:r>
            <w:r>
              <w:rPr>
                <w:rFonts w:hint="eastAsia" w:ascii="宋体" w:hAnsi="宋体" w:eastAsia="宋体" w:cs="宋体"/>
                <w:sz w:val="22"/>
                <w:lang w:val="en-US" w:eastAsia="zh-CN"/>
              </w:rPr>
              <w:t>设备包括但不限于：新能源汽车电力电子技术实训平台4台、新能源汽车电力电子技术实验平台1台、多功能移动工作站2台。</w:t>
            </w:r>
          </w:p>
          <w:p w14:paraId="7E4E853F">
            <w:pPr>
              <w:spacing w:before="120" w:after="120" w:line="360" w:lineRule="auto"/>
              <w:jc w:val="left"/>
              <w:rPr>
                <w:rFonts w:hint="default" w:ascii="宋体" w:hAnsi="宋体" w:eastAsia="宋体" w:cs="宋体"/>
                <w:sz w:val="22"/>
                <w:lang w:val="en-US" w:eastAsia="zh-CN"/>
              </w:rPr>
            </w:pPr>
            <w:r>
              <w:rPr>
                <w:rFonts w:hint="eastAsia" w:ascii="宋体" w:hAnsi="宋体" w:eastAsia="宋体" w:cs="宋体"/>
                <w:sz w:val="22"/>
                <w:lang w:val="en-US" w:eastAsia="zh-CN"/>
              </w:rPr>
              <w:t>6.方案需提供相应课程标准，本课程需是高职新能源汽车技术专业的专业基础课，兼具极强的实践性、技术性和前沿性，紧密对接“岗课赛证”综合育人要求。课程需以新能源汽车电力电子系统的核心技术为主线，系统整合电力电子元器件特性、电路变换原理、实验实操技能及行业新技术应用，核心任务是让学生掌握新能源汽车电力电子领域的基础理论、核心元器件特性、各类电力电子电路工作原理及实验技能，熟练运用仿真与实操平台开展实训，同时强化数字电源、DSP运动控制、传感器应用等前沿技术能力，为后续《新能源汽车驱动电机控制技术》《汽车电气设备构造与维修》等专业课程奠定坚实基础，培养符合新能源汽车行业需求的职业素养和创新能力。</w:t>
            </w:r>
          </w:p>
        </w:tc>
      </w:tr>
    </w:tbl>
    <w:p w14:paraId="2F0B3290">
      <w:pPr>
        <w:spacing w:before="120" w:after="120" w:line="360" w:lineRule="auto"/>
        <w:jc w:val="left"/>
        <w:rPr>
          <w:rFonts w:ascii="宋体" w:hAnsi="宋体" w:eastAsia="宋体" w:cs="宋体"/>
        </w:rPr>
      </w:pPr>
    </w:p>
    <w:sectPr>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62A"/>
    <w:rsid w:val="0011362A"/>
    <w:rsid w:val="00907BFB"/>
    <w:rsid w:val="00B36087"/>
    <w:rsid w:val="1B1C4BAC"/>
    <w:rsid w:val="26492DAF"/>
    <w:rsid w:val="2E3A6399"/>
    <w:rsid w:val="441503EE"/>
    <w:rsid w:val="4C6070EF"/>
    <w:rsid w:val="57F53FA7"/>
    <w:rsid w:val="5C6D25FA"/>
    <w:rsid w:val="611834CF"/>
    <w:rsid w:val="6C246554"/>
    <w:rsid w:val="6EBE7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1341</Words>
  <Characters>1364</Characters>
  <Lines>7</Lines>
  <Paragraphs>2</Paragraphs>
  <TotalTime>7</TotalTime>
  <ScaleCrop>false</ScaleCrop>
  <LinksUpToDate>false</LinksUpToDate>
  <CharactersWithSpaces>1367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2026-07-02T01:25:00Z</dcterms:created>
  <dc:creator>Administrator</dc:creator>
  <cp:lastModifiedBy>ChenHX</cp:lastModifiedBy>
  <dcterms:modified xsi:type="dcterms:W3CDTF">2026-07-07T05:06:37Z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{"Label":"1","ContentProducer":"001191110102MACQD9K64010000","ProduceID":"7657383574185987279","ReservedCode1":"","ContentPropagator":"","PropagateID":"","ReservedCode2":""}</vt:lpwstr>
  </property>
  <property fmtid="{D5CDD505-2E9C-101B-9397-08002B2CF9AE}" pid="3" name="KSOTemplateDocerSaveRecord">
    <vt:lpwstr>eyJoZGlkIjoiZTFhZDQwYzg2MTQ4Mzc1YmI2NTIxZjIwY2Q1ZTk5ZmIiLCJ1c2VySWQiOiIyNDUxNDQwMDgifQ==</vt:lpwstr>
  </property>
  <property fmtid="{D5CDD505-2E9C-101B-9397-08002B2CF9AE}" pid="4" name="KSOProductBuildVer">
    <vt:lpwstr>2052-12.1.0.26895</vt:lpwstr>
  </property>
  <property fmtid="{D5CDD505-2E9C-101B-9397-08002B2CF9AE}" pid="5" name="ICV">
    <vt:lpwstr>D0E2B393781A468799DFEA3239CBC57C_13</vt:lpwstr>
  </property>
</Properties>
</file>